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EA" w:rsidRPr="00DA6C6D" w:rsidRDefault="00BA21BC" w:rsidP="00513ABE">
      <w:pPr>
        <w:jc w:val="center"/>
        <w:rPr>
          <w:rFonts w:asciiTheme="minorHAnsi" w:hAnsiTheme="minorHAnsi"/>
          <w:b/>
          <w:szCs w:val="24"/>
          <w:u w:val="single"/>
        </w:rPr>
      </w:pPr>
      <w:r w:rsidRPr="00DA6C6D">
        <w:rPr>
          <w:rFonts w:asciiTheme="minorHAnsi" w:hAnsiTheme="minorHAnsi"/>
          <w:b/>
          <w:szCs w:val="24"/>
          <w:u w:val="single"/>
        </w:rPr>
        <w:t xml:space="preserve">The </w:t>
      </w:r>
      <w:r w:rsidR="002C6FEA" w:rsidRPr="00DA6C6D">
        <w:rPr>
          <w:rFonts w:asciiTheme="minorHAnsi" w:hAnsiTheme="minorHAnsi"/>
          <w:b/>
          <w:szCs w:val="24"/>
          <w:u w:val="single"/>
        </w:rPr>
        <w:t>London Living Wage</w:t>
      </w:r>
      <w:r w:rsidR="008573F1" w:rsidRPr="00DA6C6D">
        <w:rPr>
          <w:rFonts w:asciiTheme="minorHAnsi" w:hAnsiTheme="minorHAnsi"/>
          <w:b/>
          <w:szCs w:val="24"/>
          <w:u w:val="single"/>
        </w:rPr>
        <w:t xml:space="preserve"> – Proposal </w:t>
      </w:r>
    </w:p>
    <w:p w:rsidR="007E19C6" w:rsidRPr="00DA6C6D" w:rsidRDefault="00361ECA" w:rsidP="00491020">
      <w:pPr>
        <w:spacing w:before="240"/>
        <w:jc w:val="both"/>
        <w:rPr>
          <w:rFonts w:asciiTheme="minorHAnsi" w:hAnsiTheme="minorHAnsi"/>
          <w:b/>
          <w:bCs/>
          <w:szCs w:val="24"/>
        </w:rPr>
      </w:pPr>
      <w:r w:rsidRPr="00DA6C6D">
        <w:rPr>
          <w:rFonts w:asciiTheme="minorHAnsi" w:hAnsiTheme="minorHAnsi"/>
          <w:b/>
          <w:bCs/>
          <w:szCs w:val="24"/>
        </w:rPr>
        <w:t>Summary</w:t>
      </w:r>
    </w:p>
    <w:p w:rsidR="00361ECA" w:rsidRPr="00DA6C6D" w:rsidRDefault="00361ECA" w:rsidP="00FE6290">
      <w:pPr>
        <w:pStyle w:val="ListParagraph"/>
        <w:numPr>
          <w:ilvl w:val="0"/>
          <w:numId w:val="5"/>
        </w:numPr>
        <w:spacing w:after="0"/>
        <w:jc w:val="both"/>
        <w:rPr>
          <w:rFonts w:asciiTheme="minorHAnsi" w:hAnsiTheme="minorHAnsi"/>
          <w:szCs w:val="24"/>
        </w:rPr>
      </w:pPr>
      <w:r w:rsidRPr="00DA6C6D">
        <w:rPr>
          <w:rFonts w:asciiTheme="minorHAnsi" w:hAnsiTheme="minorHAnsi"/>
          <w:szCs w:val="24"/>
        </w:rPr>
        <w:t>The London Living Wage (LLW) is a</w:t>
      </w:r>
      <w:r w:rsidRPr="00DA6C6D">
        <w:rPr>
          <w:rFonts w:asciiTheme="minorHAnsi" w:hAnsiTheme="minorHAnsi"/>
        </w:rPr>
        <w:t xml:space="preserve"> wage rate calculated to place working households in London above “the threshold of poverty” after benefits and tax credits are taken into account. </w:t>
      </w:r>
      <w:r w:rsidR="003432F5" w:rsidRPr="00DA6C6D">
        <w:rPr>
          <w:rFonts w:asciiTheme="minorHAnsi" w:hAnsiTheme="minorHAnsi"/>
        </w:rPr>
        <w:t xml:space="preserve">It is currently </w:t>
      </w:r>
      <w:proofErr w:type="gramStart"/>
      <w:r w:rsidR="003432F5" w:rsidRPr="00DA6C6D">
        <w:rPr>
          <w:rFonts w:asciiTheme="minorHAnsi" w:hAnsiTheme="minorHAnsi"/>
        </w:rPr>
        <w:t>£</w:t>
      </w:r>
      <w:r w:rsidR="00FE6290" w:rsidRPr="00FE6290">
        <w:rPr>
          <w:rFonts w:asciiTheme="minorHAnsi" w:hAnsiTheme="minorHAnsi"/>
          <w:highlight w:val="yellow"/>
        </w:rPr>
        <w:t>[</w:t>
      </w:r>
      <w:proofErr w:type="gramEnd"/>
      <w:r w:rsidR="00C04567" w:rsidRPr="00FE6290">
        <w:rPr>
          <w:rFonts w:asciiTheme="minorHAnsi" w:hAnsiTheme="minorHAnsi"/>
          <w:highlight w:val="yellow"/>
        </w:rPr>
        <w:t>10.20</w:t>
      </w:r>
      <w:r w:rsidR="00FE6290" w:rsidRPr="00FE6290">
        <w:rPr>
          <w:rFonts w:asciiTheme="minorHAnsi" w:hAnsiTheme="minorHAnsi"/>
          <w:highlight w:val="yellow"/>
        </w:rPr>
        <w:t>]</w:t>
      </w:r>
      <w:r w:rsidR="003432F5" w:rsidRPr="00DA6C6D">
        <w:rPr>
          <w:rFonts w:asciiTheme="minorHAnsi" w:hAnsiTheme="minorHAnsi"/>
        </w:rPr>
        <w:t xml:space="preserve">ph. Unlike the statutory minimum wage </w:t>
      </w:r>
      <w:r w:rsidR="0037625D" w:rsidRPr="00DA6C6D">
        <w:rPr>
          <w:rFonts w:asciiTheme="minorHAnsi" w:hAnsiTheme="minorHAnsi"/>
        </w:rPr>
        <w:t xml:space="preserve">(currently </w:t>
      </w:r>
      <w:proofErr w:type="gramStart"/>
      <w:r w:rsidR="003432F5" w:rsidRPr="00DA6C6D">
        <w:rPr>
          <w:rFonts w:asciiTheme="minorHAnsi" w:hAnsiTheme="minorHAnsi"/>
        </w:rPr>
        <w:t>£</w:t>
      </w:r>
      <w:r w:rsidR="00FE6290" w:rsidRPr="00FE6290">
        <w:rPr>
          <w:rFonts w:asciiTheme="minorHAnsi" w:hAnsiTheme="minorHAnsi"/>
          <w:highlight w:val="yellow"/>
        </w:rPr>
        <w:t>[</w:t>
      </w:r>
      <w:proofErr w:type="gramEnd"/>
      <w:r w:rsidR="00C04567" w:rsidRPr="00FE6290">
        <w:rPr>
          <w:rFonts w:asciiTheme="minorHAnsi" w:hAnsiTheme="minorHAnsi"/>
          <w:highlight w:val="yellow"/>
        </w:rPr>
        <w:t>7.50</w:t>
      </w:r>
      <w:r w:rsidR="00FE6290" w:rsidRPr="00FE6290">
        <w:rPr>
          <w:rFonts w:asciiTheme="minorHAnsi" w:hAnsiTheme="minorHAnsi"/>
          <w:highlight w:val="yellow"/>
        </w:rPr>
        <w:t>]</w:t>
      </w:r>
      <w:proofErr w:type="spellStart"/>
      <w:r w:rsidR="00C04567">
        <w:rPr>
          <w:rFonts w:asciiTheme="minorHAnsi" w:hAnsiTheme="minorHAnsi"/>
        </w:rPr>
        <w:t>ph</w:t>
      </w:r>
      <w:proofErr w:type="spellEnd"/>
      <w:r w:rsidR="00C04567">
        <w:rPr>
          <w:rFonts w:asciiTheme="minorHAnsi" w:hAnsiTheme="minorHAnsi"/>
        </w:rPr>
        <w:t xml:space="preserve"> for ages 25 and over, £</w:t>
      </w:r>
      <w:r w:rsidR="00FE6290" w:rsidRPr="00FE6290">
        <w:rPr>
          <w:rFonts w:asciiTheme="minorHAnsi" w:hAnsiTheme="minorHAnsi"/>
          <w:highlight w:val="yellow"/>
        </w:rPr>
        <w:t>[</w:t>
      </w:r>
      <w:r w:rsidR="00C04567" w:rsidRPr="00FE6290">
        <w:rPr>
          <w:rFonts w:asciiTheme="minorHAnsi" w:hAnsiTheme="minorHAnsi"/>
          <w:highlight w:val="yellow"/>
        </w:rPr>
        <w:t>7.05</w:t>
      </w:r>
      <w:r w:rsidR="00FE6290" w:rsidRPr="00FE6290">
        <w:rPr>
          <w:rFonts w:asciiTheme="minorHAnsi" w:hAnsiTheme="minorHAnsi"/>
          <w:highlight w:val="yellow"/>
        </w:rPr>
        <w:t>]</w:t>
      </w:r>
      <w:r w:rsidR="00C04567">
        <w:rPr>
          <w:rFonts w:asciiTheme="minorHAnsi" w:hAnsiTheme="minorHAnsi"/>
        </w:rPr>
        <w:t xml:space="preserve"> for ages 21-24</w:t>
      </w:r>
      <w:r w:rsidR="0037625D" w:rsidRPr="00DA6C6D">
        <w:rPr>
          <w:rFonts w:asciiTheme="minorHAnsi" w:hAnsiTheme="minorHAnsi"/>
        </w:rPr>
        <w:t>)</w:t>
      </w:r>
      <w:r w:rsidR="003432F5" w:rsidRPr="00DA6C6D">
        <w:rPr>
          <w:rFonts w:asciiTheme="minorHAnsi" w:hAnsiTheme="minorHAnsi"/>
        </w:rPr>
        <w:t>, t</w:t>
      </w:r>
      <w:r w:rsidRPr="00DA6C6D">
        <w:rPr>
          <w:rFonts w:asciiTheme="minorHAnsi" w:hAnsiTheme="minorHAnsi"/>
        </w:rPr>
        <w:t>he LLW takes account of London’s higher living costs to provide a minimum acceptable quality of life</w:t>
      </w:r>
      <w:r w:rsidR="003432F5" w:rsidRPr="00DA6C6D">
        <w:rPr>
          <w:rFonts w:asciiTheme="minorHAnsi" w:hAnsiTheme="minorHAnsi"/>
        </w:rPr>
        <w:t xml:space="preserve">. </w:t>
      </w:r>
      <w:r w:rsidRPr="00DA6C6D">
        <w:rPr>
          <w:rFonts w:asciiTheme="minorHAnsi" w:hAnsiTheme="minorHAnsi"/>
          <w:szCs w:val="24"/>
        </w:rPr>
        <w:t>It</w:t>
      </w:r>
      <w:r w:rsidR="000D5FBF" w:rsidRPr="00DA6C6D">
        <w:rPr>
          <w:rFonts w:asciiTheme="minorHAnsi" w:hAnsiTheme="minorHAnsi"/>
          <w:szCs w:val="24"/>
        </w:rPr>
        <w:t xml:space="preserve"> has widespread political </w:t>
      </w:r>
      <w:r w:rsidR="003432F5" w:rsidRPr="00DA6C6D">
        <w:rPr>
          <w:rFonts w:asciiTheme="minorHAnsi" w:hAnsiTheme="minorHAnsi"/>
          <w:szCs w:val="24"/>
        </w:rPr>
        <w:t xml:space="preserve">support </w:t>
      </w:r>
      <w:r w:rsidR="000D5FBF" w:rsidRPr="00DA6C6D">
        <w:rPr>
          <w:rFonts w:asciiTheme="minorHAnsi" w:hAnsiTheme="minorHAnsi"/>
          <w:szCs w:val="24"/>
        </w:rPr>
        <w:t>(</w:t>
      </w:r>
      <w:r w:rsidR="003432F5" w:rsidRPr="00DA6C6D">
        <w:rPr>
          <w:rFonts w:asciiTheme="minorHAnsi" w:hAnsiTheme="minorHAnsi"/>
          <w:szCs w:val="24"/>
        </w:rPr>
        <w:t>includ</w:t>
      </w:r>
      <w:r w:rsidR="000D5FBF" w:rsidRPr="00DA6C6D">
        <w:rPr>
          <w:rFonts w:asciiTheme="minorHAnsi" w:hAnsiTheme="minorHAnsi"/>
          <w:szCs w:val="24"/>
        </w:rPr>
        <w:t>ing, e</w:t>
      </w:r>
      <w:r w:rsidR="00C04567">
        <w:rPr>
          <w:rFonts w:asciiTheme="minorHAnsi" w:hAnsiTheme="minorHAnsi"/>
          <w:szCs w:val="24"/>
        </w:rPr>
        <w:t>.</w:t>
      </w:r>
      <w:r w:rsidR="000D5FBF" w:rsidRPr="00DA6C6D">
        <w:rPr>
          <w:rFonts w:asciiTheme="minorHAnsi" w:hAnsiTheme="minorHAnsi"/>
          <w:szCs w:val="24"/>
        </w:rPr>
        <w:t>g</w:t>
      </w:r>
      <w:r w:rsidR="009B00C3">
        <w:rPr>
          <w:rFonts w:asciiTheme="minorHAnsi" w:hAnsiTheme="minorHAnsi"/>
          <w:szCs w:val="24"/>
        </w:rPr>
        <w:t>.</w:t>
      </w:r>
      <w:r w:rsidR="000D5FBF" w:rsidRPr="00DA6C6D">
        <w:rPr>
          <w:rFonts w:asciiTheme="minorHAnsi" w:hAnsiTheme="minorHAnsi"/>
          <w:szCs w:val="24"/>
        </w:rPr>
        <w:t xml:space="preserve"> from</w:t>
      </w:r>
      <w:r w:rsidRPr="00DA6C6D">
        <w:rPr>
          <w:rFonts w:asciiTheme="minorHAnsi" w:hAnsiTheme="minorHAnsi"/>
          <w:szCs w:val="24"/>
        </w:rPr>
        <w:t xml:space="preserve"> </w:t>
      </w:r>
      <w:r w:rsidR="00C04567">
        <w:rPr>
          <w:rFonts w:asciiTheme="minorHAnsi" w:hAnsiTheme="minorHAnsi"/>
          <w:szCs w:val="24"/>
        </w:rPr>
        <w:t>the Mayor of London</w:t>
      </w:r>
      <w:r w:rsidR="00FE6290">
        <w:rPr>
          <w:rFonts w:asciiTheme="minorHAnsi" w:hAnsiTheme="minorHAnsi"/>
          <w:szCs w:val="24"/>
        </w:rPr>
        <w:t xml:space="preserve"> and his predecessor</w:t>
      </w:r>
      <w:r w:rsidR="000D5FBF" w:rsidRPr="00DA6C6D">
        <w:rPr>
          <w:rFonts w:asciiTheme="minorHAnsi" w:hAnsiTheme="minorHAnsi"/>
          <w:szCs w:val="24"/>
        </w:rPr>
        <w:t>)</w:t>
      </w:r>
      <w:r w:rsidRPr="00DA6C6D">
        <w:rPr>
          <w:rFonts w:asciiTheme="minorHAnsi" w:hAnsiTheme="minorHAnsi"/>
          <w:szCs w:val="24"/>
        </w:rPr>
        <w:t>.</w:t>
      </w:r>
    </w:p>
    <w:p w:rsidR="004D519A" w:rsidRPr="00DA6C6D" w:rsidRDefault="004D519A" w:rsidP="00491020">
      <w:pPr>
        <w:pStyle w:val="ListParagraph"/>
        <w:spacing w:after="0"/>
        <w:ind w:left="360"/>
        <w:jc w:val="both"/>
        <w:rPr>
          <w:rFonts w:asciiTheme="minorHAnsi" w:hAnsiTheme="minorHAnsi"/>
          <w:szCs w:val="24"/>
        </w:rPr>
      </w:pPr>
    </w:p>
    <w:p w:rsidR="003432F5" w:rsidRPr="00DA6C6D" w:rsidRDefault="003432F5" w:rsidP="00491020">
      <w:pPr>
        <w:pStyle w:val="ListParagraph"/>
        <w:numPr>
          <w:ilvl w:val="0"/>
          <w:numId w:val="5"/>
        </w:numPr>
        <w:spacing w:after="0"/>
        <w:jc w:val="both"/>
        <w:rPr>
          <w:rFonts w:asciiTheme="minorHAnsi" w:hAnsiTheme="minorHAnsi"/>
          <w:szCs w:val="24"/>
        </w:rPr>
      </w:pPr>
      <w:r w:rsidRPr="00DA6C6D">
        <w:rPr>
          <w:rFonts w:asciiTheme="minorHAnsi" w:hAnsiTheme="minorHAnsi"/>
          <w:szCs w:val="24"/>
        </w:rPr>
        <w:t xml:space="preserve">Chambers </w:t>
      </w:r>
      <w:r w:rsidR="003C39D9">
        <w:rPr>
          <w:rFonts w:asciiTheme="minorHAnsi" w:hAnsiTheme="minorHAnsi"/>
          <w:szCs w:val="24"/>
        </w:rPr>
        <w:t xml:space="preserve">should ensure that the people </w:t>
      </w:r>
      <w:r w:rsidR="00AB73F0">
        <w:rPr>
          <w:rFonts w:asciiTheme="minorHAnsi" w:hAnsiTheme="minorHAnsi"/>
          <w:szCs w:val="24"/>
        </w:rPr>
        <w:t>employed by suppliers</w:t>
      </w:r>
      <w:r w:rsidR="003C39D9">
        <w:rPr>
          <w:rFonts w:asciiTheme="minorHAnsi" w:hAnsiTheme="minorHAnsi"/>
          <w:szCs w:val="24"/>
        </w:rPr>
        <w:t xml:space="preserve"> that provide services and products for Chambers (in particular, cleaning staff), are paid the </w:t>
      </w:r>
      <w:r w:rsidRPr="00DA6C6D">
        <w:rPr>
          <w:rFonts w:asciiTheme="minorHAnsi" w:hAnsiTheme="minorHAnsi"/>
          <w:szCs w:val="24"/>
        </w:rPr>
        <w:t>LLW</w:t>
      </w:r>
      <w:r w:rsidR="000D4ED3" w:rsidRPr="00DA6C6D">
        <w:rPr>
          <w:rFonts w:asciiTheme="minorHAnsi" w:hAnsiTheme="minorHAnsi"/>
          <w:szCs w:val="24"/>
        </w:rPr>
        <w:t xml:space="preserve"> for the work they do in</w:t>
      </w:r>
      <w:r w:rsidR="003C39D9">
        <w:rPr>
          <w:rFonts w:asciiTheme="minorHAnsi" w:hAnsiTheme="minorHAnsi"/>
          <w:szCs w:val="24"/>
        </w:rPr>
        <w:t xml:space="preserve"> and for</w:t>
      </w:r>
      <w:r w:rsidR="000D4ED3" w:rsidRPr="00DA6C6D">
        <w:rPr>
          <w:rFonts w:asciiTheme="minorHAnsi" w:hAnsiTheme="minorHAnsi"/>
          <w:szCs w:val="24"/>
        </w:rPr>
        <w:t xml:space="preserve"> Chambers</w:t>
      </w:r>
      <w:r w:rsidRPr="00DA6C6D">
        <w:rPr>
          <w:rFonts w:asciiTheme="minorHAnsi" w:hAnsiTheme="minorHAnsi"/>
          <w:szCs w:val="24"/>
        </w:rPr>
        <w:t xml:space="preserve">. </w:t>
      </w:r>
      <w:r w:rsidR="003C39D9">
        <w:rPr>
          <w:rFonts w:asciiTheme="minorHAnsi" w:hAnsiTheme="minorHAnsi"/>
          <w:szCs w:val="24"/>
        </w:rPr>
        <w:t xml:space="preserve">Chambers should also ensure that its own </w:t>
      </w:r>
      <w:proofErr w:type="gramStart"/>
      <w:r w:rsidR="003C39D9">
        <w:rPr>
          <w:rFonts w:asciiTheme="minorHAnsi" w:hAnsiTheme="minorHAnsi"/>
          <w:szCs w:val="24"/>
        </w:rPr>
        <w:t>workforce are</w:t>
      </w:r>
      <w:proofErr w:type="gramEnd"/>
      <w:r w:rsidR="003C39D9">
        <w:rPr>
          <w:rFonts w:asciiTheme="minorHAnsi" w:hAnsiTheme="minorHAnsi"/>
          <w:szCs w:val="24"/>
        </w:rPr>
        <w:t xml:space="preserve"> similarly remunerated. </w:t>
      </w:r>
      <w:r w:rsidR="000D38B1" w:rsidRPr="00DA6C6D">
        <w:rPr>
          <w:rFonts w:asciiTheme="minorHAnsi" w:hAnsiTheme="minorHAnsi"/>
          <w:szCs w:val="24"/>
        </w:rPr>
        <w:t>As set out below, the moral reasons are more compelling than the business reasons.</w:t>
      </w:r>
      <w:r w:rsidR="00513ABE" w:rsidRPr="00DA6C6D">
        <w:rPr>
          <w:rFonts w:asciiTheme="minorHAnsi" w:hAnsiTheme="minorHAnsi"/>
          <w:szCs w:val="24"/>
        </w:rPr>
        <w:t xml:space="preserve"> I</w:t>
      </w:r>
      <w:r w:rsidR="000D38B1" w:rsidRPr="00DA6C6D">
        <w:rPr>
          <w:rFonts w:asciiTheme="minorHAnsi" w:hAnsiTheme="minorHAnsi"/>
          <w:szCs w:val="24"/>
        </w:rPr>
        <w:t xml:space="preserve">t should be noted that in paying LLW, </w:t>
      </w:r>
      <w:r w:rsidR="003C39D9">
        <w:rPr>
          <w:rFonts w:asciiTheme="minorHAnsi" w:hAnsiTheme="minorHAnsi"/>
          <w:szCs w:val="24"/>
        </w:rPr>
        <w:t xml:space="preserve">Chambers </w:t>
      </w:r>
      <w:r w:rsidR="000D38B1" w:rsidRPr="00DA6C6D">
        <w:rPr>
          <w:rFonts w:asciiTheme="minorHAnsi" w:hAnsiTheme="minorHAnsi"/>
          <w:szCs w:val="24"/>
        </w:rPr>
        <w:t xml:space="preserve">will be joining the likes of Herbert Smith Freehills, </w:t>
      </w:r>
      <w:proofErr w:type="spellStart"/>
      <w:r w:rsidR="000D38B1" w:rsidRPr="00DA6C6D">
        <w:rPr>
          <w:rFonts w:asciiTheme="minorHAnsi" w:hAnsiTheme="minorHAnsi"/>
          <w:szCs w:val="24"/>
        </w:rPr>
        <w:t>Linklaters</w:t>
      </w:r>
      <w:proofErr w:type="spellEnd"/>
      <w:r w:rsidR="000D38B1" w:rsidRPr="00DA6C6D">
        <w:rPr>
          <w:rFonts w:asciiTheme="minorHAnsi" w:hAnsiTheme="minorHAnsi"/>
          <w:szCs w:val="24"/>
        </w:rPr>
        <w:t>, Mayer Brown,</w:t>
      </w:r>
      <w:r w:rsidR="00FE6290">
        <w:rPr>
          <w:rFonts w:asciiTheme="minorHAnsi" w:hAnsiTheme="minorHAnsi"/>
          <w:szCs w:val="24"/>
        </w:rPr>
        <w:t xml:space="preserve"> Maitland Chambers,</w:t>
      </w:r>
      <w:r w:rsidR="000D38B1" w:rsidRPr="00DA6C6D">
        <w:rPr>
          <w:rFonts w:asciiTheme="minorHAnsi" w:hAnsiTheme="minorHAnsi"/>
          <w:szCs w:val="24"/>
        </w:rPr>
        <w:t xml:space="preserve"> Matrix Chambers, </w:t>
      </w:r>
      <w:proofErr w:type="spellStart"/>
      <w:r w:rsidR="000D38B1" w:rsidRPr="00DA6C6D">
        <w:rPr>
          <w:rFonts w:asciiTheme="minorHAnsi" w:hAnsiTheme="minorHAnsi"/>
          <w:szCs w:val="24"/>
        </w:rPr>
        <w:t>Mishcon</w:t>
      </w:r>
      <w:proofErr w:type="spellEnd"/>
      <w:r w:rsidR="000D38B1" w:rsidRPr="00DA6C6D">
        <w:rPr>
          <w:rFonts w:asciiTheme="minorHAnsi" w:hAnsiTheme="minorHAnsi"/>
          <w:szCs w:val="24"/>
        </w:rPr>
        <w:t xml:space="preserve"> de </w:t>
      </w:r>
      <w:proofErr w:type="spellStart"/>
      <w:r w:rsidR="000D38B1" w:rsidRPr="00DA6C6D">
        <w:rPr>
          <w:rFonts w:asciiTheme="minorHAnsi" w:hAnsiTheme="minorHAnsi"/>
          <w:szCs w:val="24"/>
        </w:rPr>
        <w:t>Reya</w:t>
      </w:r>
      <w:proofErr w:type="spellEnd"/>
      <w:r w:rsidR="000D38B1" w:rsidRPr="00DA6C6D">
        <w:rPr>
          <w:rFonts w:asciiTheme="minorHAnsi" w:hAnsiTheme="minorHAnsi"/>
          <w:szCs w:val="24"/>
        </w:rPr>
        <w:t>, Norton Rose Fulbright, Outer Temple Chambers, Slaughter and May, etc.</w:t>
      </w:r>
    </w:p>
    <w:p w:rsidR="004D519A" w:rsidRPr="00DA6C6D" w:rsidRDefault="004D519A" w:rsidP="00491020">
      <w:pPr>
        <w:pStyle w:val="ListParagraph"/>
        <w:spacing w:after="0"/>
        <w:ind w:left="360"/>
        <w:jc w:val="both"/>
        <w:rPr>
          <w:rFonts w:asciiTheme="minorHAnsi" w:hAnsiTheme="minorHAnsi"/>
          <w:szCs w:val="24"/>
        </w:rPr>
      </w:pPr>
    </w:p>
    <w:p w:rsidR="003432F5" w:rsidRDefault="003432F5" w:rsidP="00FE6290">
      <w:pPr>
        <w:pStyle w:val="ListParagraph"/>
        <w:numPr>
          <w:ilvl w:val="0"/>
          <w:numId w:val="6"/>
        </w:numPr>
        <w:spacing w:after="0"/>
        <w:ind w:left="284" w:hanging="284"/>
        <w:jc w:val="both"/>
        <w:rPr>
          <w:rFonts w:asciiTheme="minorHAnsi" w:hAnsiTheme="minorHAnsi"/>
          <w:szCs w:val="24"/>
        </w:rPr>
      </w:pPr>
      <w:r w:rsidRPr="003C39D9">
        <w:rPr>
          <w:rFonts w:asciiTheme="minorHAnsi" w:hAnsiTheme="minorHAnsi"/>
          <w:szCs w:val="24"/>
        </w:rPr>
        <w:t>The cost to Chambers would increase</w:t>
      </w:r>
      <w:r w:rsidR="00D032C3" w:rsidRPr="003C39D9">
        <w:rPr>
          <w:rFonts w:asciiTheme="minorHAnsi" w:hAnsiTheme="minorHAnsi"/>
          <w:szCs w:val="24"/>
        </w:rPr>
        <w:t>, but it</w:t>
      </w:r>
      <w:r w:rsidR="0037625D" w:rsidRPr="003C39D9">
        <w:rPr>
          <w:rFonts w:asciiTheme="minorHAnsi" w:hAnsiTheme="minorHAnsi"/>
          <w:szCs w:val="24"/>
        </w:rPr>
        <w:t xml:space="preserve"> should be noted that</w:t>
      </w:r>
      <w:r w:rsidR="009B00C3">
        <w:rPr>
          <w:rFonts w:asciiTheme="minorHAnsi" w:hAnsiTheme="minorHAnsi"/>
          <w:szCs w:val="24"/>
        </w:rPr>
        <w:t xml:space="preserve"> </w:t>
      </w:r>
      <w:r w:rsidR="003C39D9">
        <w:rPr>
          <w:rFonts w:asciiTheme="minorHAnsi" w:hAnsiTheme="minorHAnsi"/>
          <w:szCs w:val="24"/>
        </w:rPr>
        <w:t>t</w:t>
      </w:r>
      <w:r w:rsidRPr="003C39D9">
        <w:rPr>
          <w:rFonts w:asciiTheme="minorHAnsi" w:hAnsiTheme="minorHAnsi"/>
          <w:szCs w:val="24"/>
        </w:rPr>
        <w:t xml:space="preserve">he entirety of the increase in cost to Chambers would be applied to wages. There </w:t>
      </w:r>
      <w:r w:rsidR="000D38B1" w:rsidRPr="003C39D9">
        <w:rPr>
          <w:rFonts w:asciiTheme="minorHAnsi" w:hAnsiTheme="minorHAnsi"/>
          <w:szCs w:val="24"/>
        </w:rPr>
        <w:t xml:space="preserve">would be </w:t>
      </w:r>
      <w:r w:rsidRPr="003C39D9">
        <w:rPr>
          <w:rFonts w:asciiTheme="minorHAnsi" w:hAnsiTheme="minorHAnsi"/>
          <w:szCs w:val="24"/>
        </w:rPr>
        <w:t xml:space="preserve">no additional profit to </w:t>
      </w:r>
      <w:r w:rsidR="00FE6290">
        <w:rPr>
          <w:rFonts w:asciiTheme="minorHAnsi" w:hAnsiTheme="minorHAnsi"/>
          <w:szCs w:val="24"/>
        </w:rPr>
        <w:t>(</w:t>
      </w:r>
      <w:proofErr w:type="spellStart"/>
      <w:r w:rsidR="00FE6290">
        <w:rPr>
          <w:rFonts w:asciiTheme="minorHAnsi" w:hAnsiTheme="minorHAnsi"/>
          <w:szCs w:val="24"/>
        </w:rPr>
        <w:t>eg</w:t>
      </w:r>
      <w:proofErr w:type="spellEnd"/>
      <w:r w:rsidR="00FE6290">
        <w:rPr>
          <w:rFonts w:asciiTheme="minorHAnsi" w:hAnsiTheme="minorHAnsi"/>
          <w:szCs w:val="24"/>
        </w:rPr>
        <w:t xml:space="preserve">) the cleaning contractor </w:t>
      </w:r>
      <w:r w:rsidR="000D38B1" w:rsidRPr="003C39D9">
        <w:rPr>
          <w:rFonts w:asciiTheme="minorHAnsi" w:hAnsiTheme="minorHAnsi"/>
          <w:szCs w:val="24"/>
        </w:rPr>
        <w:t>from this decision</w:t>
      </w:r>
      <w:r w:rsidRPr="003C39D9">
        <w:rPr>
          <w:rFonts w:asciiTheme="minorHAnsi" w:hAnsiTheme="minorHAnsi"/>
          <w:szCs w:val="24"/>
        </w:rPr>
        <w:t>.</w:t>
      </w:r>
    </w:p>
    <w:p w:rsidR="003D48DF" w:rsidRDefault="003D48DF" w:rsidP="003D48DF">
      <w:pPr>
        <w:pStyle w:val="ListParagraph"/>
        <w:spacing w:after="0"/>
        <w:ind w:left="284"/>
        <w:jc w:val="both"/>
        <w:rPr>
          <w:rFonts w:asciiTheme="minorHAnsi" w:hAnsiTheme="minorHAnsi"/>
          <w:szCs w:val="24"/>
        </w:rPr>
      </w:pPr>
    </w:p>
    <w:p w:rsidR="003D48DF" w:rsidRPr="003C39D9" w:rsidRDefault="003D48DF" w:rsidP="003D48DF">
      <w:pPr>
        <w:pStyle w:val="ListParagraph"/>
        <w:numPr>
          <w:ilvl w:val="0"/>
          <w:numId w:val="6"/>
        </w:numPr>
        <w:spacing w:after="0"/>
        <w:ind w:left="284" w:hanging="284"/>
        <w:jc w:val="both"/>
        <w:rPr>
          <w:rFonts w:asciiTheme="minorHAnsi" w:hAnsiTheme="minorHAnsi"/>
          <w:szCs w:val="24"/>
        </w:rPr>
      </w:pPr>
      <w:r>
        <w:rPr>
          <w:rFonts w:asciiTheme="minorHAnsi" w:hAnsiTheme="minorHAnsi"/>
          <w:szCs w:val="24"/>
        </w:rPr>
        <w:t>This proposal is adapted from a template provided by the Chancery Bar Association, which actively promotes policies such as this.</w:t>
      </w:r>
    </w:p>
    <w:p w:rsidR="004D519A" w:rsidRPr="00DA6C6D" w:rsidRDefault="004D519A" w:rsidP="00491020">
      <w:pPr>
        <w:pStyle w:val="ListParagraph"/>
        <w:spacing w:after="0"/>
        <w:ind w:left="360"/>
        <w:jc w:val="both"/>
        <w:rPr>
          <w:rFonts w:asciiTheme="minorHAnsi" w:hAnsiTheme="minorHAnsi"/>
          <w:szCs w:val="24"/>
        </w:rPr>
      </w:pPr>
    </w:p>
    <w:p w:rsidR="004D519A" w:rsidRPr="00DA6C6D" w:rsidRDefault="004D519A" w:rsidP="00491020">
      <w:pPr>
        <w:pStyle w:val="ListParagraph"/>
        <w:spacing w:after="0"/>
        <w:ind w:left="360"/>
        <w:jc w:val="both"/>
        <w:rPr>
          <w:rFonts w:asciiTheme="minorHAnsi" w:hAnsiTheme="minorHAnsi"/>
          <w:szCs w:val="24"/>
        </w:rPr>
      </w:pPr>
    </w:p>
    <w:p w:rsidR="004D519A" w:rsidRPr="00DA6C6D" w:rsidRDefault="00D9147A">
      <w:pPr>
        <w:spacing w:before="240"/>
        <w:jc w:val="both"/>
        <w:rPr>
          <w:rFonts w:asciiTheme="minorHAnsi" w:hAnsiTheme="minorHAnsi"/>
          <w:b/>
          <w:bCs/>
          <w:szCs w:val="24"/>
        </w:rPr>
      </w:pPr>
      <w:r w:rsidRPr="00DA6C6D">
        <w:rPr>
          <w:rFonts w:asciiTheme="minorHAnsi" w:hAnsiTheme="minorHAnsi"/>
          <w:szCs w:val="24"/>
          <w:highlight w:val="yellow"/>
        </w:rPr>
        <w:br w:type="page"/>
      </w:r>
      <w:r w:rsidR="004D519A" w:rsidRPr="00DA6C6D">
        <w:rPr>
          <w:rFonts w:asciiTheme="minorHAnsi" w:hAnsiTheme="minorHAnsi"/>
          <w:b/>
          <w:bCs/>
          <w:szCs w:val="24"/>
        </w:rPr>
        <w:lastRenderedPageBreak/>
        <w:t>Introduction - the London Living Wage</w:t>
      </w:r>
      <w:r w:rsidR="009B00C3">
        <w:rPr>
          <w:rFonts w:asciiTheme="minorHAnsi" w:hAnsiTheme="minorHAnsi"/>
          <w:b/>
          <w:bCs/>
          <w:szCs w:val="24"/>
        </w:rPr>
        <w:t xml:space="preserve"> (LLW)</w:t>
      </w:r>
    </w:p>
    <w:p w:rsidR="004D519A" w:rsidRPr="00DA6C6D" w:rsidRDefault="004D519A" w:rsidP="004D519A">
      <w:pPr>
        <w:pStyle w:val="introduction"/>
        <w:numPr>
          <w:ilvl w:val="0"/>
          <w:numId w:val="1"/>
        </w:numPr>
        <w:shd w:val="clear" w:color="auto" w:fill="FFFFFF"/>
        <w:spacing w:after="270" w:line="360" w:lineRule="auto"/>
        <w:jc w:val="both"/>
        <w:rPr>
          <w:rFonts w:asciiTheme="minorHAnsi" w:hAnsiTheme="minorHAnsi"/>
        </w:rPr>
      </w:pPr>
      <w:r w:rsidRPr="00DA6C6D">
        <w:rPr>
          <w:rFonts w:asciiTheme="minorHAnsi" w:hAnsiTheme="minorHAnsi"/>
        </w:rPr>
        <w:t>The LLW is an annual hourly wage level calculation</w:t>
      </w:r>
      <w:r w:rsidR="0037625D" w:rsidRPr="00DA6C6D">
        <w:rPr>
          <w:rFonts w:asciiTheme="minorHAnsi" w:hAnsiTheme="minorHAnsi"/>
        </w:rPr>
        <w:t>,</w:t>
      </w:r>
      <w:r w:rsidRPr="00DA6C6D">
        <w:rPr>
          <w:rFonts w:asciiTheme="minorHAnsi" w:hAnsiTheme="minorHAnsi"/>
        </w:rPr>
        <w:t xml:space="preserve"> characterised as a wage rate that if earned would place working households in London above “the threshold of poverty”, even after benefits and tax credits are taken into account. It takes account of London’s higher living costs to provide the minimum acceptable quality of life.   </w:t>
      </w:r>
    </w:p>
    <w:p w:rsidR="004D519A" w:rsidRPr="00DA6C6D" w:rsidRDefault="004D519A" w:rsidP="004D519A">
      <w:pPr>
        <w:pStyle w:val="ListParagraph"/>
        <w:numPr>
          <w:ilvl w:val="0"/>
          <w:numId w:val="1"/>
        </w:numPr>
        <w:spacing w:before="240"/>
        <w:contextualSpacing w:val="0"/>
        <w:jc w:val="both"/>
        <w:rPr>
          <w:rFonts w:asciiTheme="minorHAnsi" w:hAnsiTheme="minorHAnsi"/>
          <w:szCs w:val="24"/>
        </w:rPr>
      </w:pPr>
      <w:r w:rsidRPr="00DA6C6D">
        <w:rPr>
          <w:rFonts w:asciiTheme="minorHAnsi" w:hAnsiTheme="minorHAnsi"/>
        </w:rPr>
        <w:t xml:space="preserve">The national minimum wage is set with little </w:t>
      </w:r>
      <w:r w:rsidRPr="00DA6C6D">
        <w:rPr>
          <w:rFonts w:asciiTheme="minorHAnsi" w:hAnsiTheme="minorHAnsi"/>
          <w:szCs w:val="24"/>
        </w:rPr>
        <w:t>reference</w:t>
      </w:r>
      <w:r w:rsidRPr="00DA6C6D">
        <w:rPr>
          <w:rFonts w:asciiTheme="minorHAnsi" w:hAnsiTheme="minorHAnsi"/>
        </w:rPr>
        <w:t xml:space="preserve"> to London.  </w:t>
      </w:r>
      <w:r w:rsidRPr="00DA6C6D">
        <w:rPr>
          <w:rFonts w:asciiTheme="minorHAnsi" w:hAnsiTheme="minorHAnsi"/>
          <w:szCs w:val="24"/>
        </w:rPr>
        <w:t>By contrast, the LLW is calculated by the Greater London Authority, and attempts to reflect the additional costs of living in London. It is an informal benchmark, not a legally enforceable minimum level of pay, like the national minimum wage.</w:t>
      </w:r>
    </w:p>
    <w:p w:rsidR="004D519A" w:rsidRPr="00DA6C6D" w:rsidRDefault="004D519A" w:rsidP="004D519A">
      <w:pPr>
        <w:pStyle w:val="ListParagraph"/>
        <w:numPr>
          <w:ilvl w:val="0"/>
          <w:numId w:val="1"/>
        </w:numPr>
        <w:spacing w:before="240"/>
        <w:contextualSpacing w:val="0"/>
        <w:jc w:val="both"/>
        <w:rPr>
          <w:rFonts w:asciiTheme="minorHAnsi" w:hAnsiTheme="minorHAnsi"/>
          <w:szCs w:val="24"/>
        </w:rPr>
      </w:pPr>
      <w:r w:rsidRPr="00DA6C6D">
        <w:rPr>
          <w:rFonts w:asciiTheme="minorHAnsi" w:hAnsiTheme="minorHAnsi"/>
          <w:szCs w:val="24"/>
        </w:rPr>
        <w:t>The LLW has receive</w:t>
      </w:r>
      <w:r w:rsidR="0050357C">
        <w:rPr>
          <w:rFonts w:asciiTheme="minorHAnsi" w:hAnsiTheme="minorHAnsi"/>
          <w:szCs w:val="24"/>
        </w:rPr>
        <w:t>s</w:t>
      </w:r>
      <w:r w:rsidRPr="00DA6C6D">
        <w:rPr>
          <w:rFonts w:asciiTheme="minorHAnsi" w:hAnsiTheme="minorHAnsi"/>
          <w:szCs w:val="24"/>
        </w:rPr>
        <w:t xml:space="preserve"> </w:t>
      </w:r>
      <w:r w:rsidR="0050357C">
        <w:rPr>
          <w:rFonts w:asciiTheme="minorHAnsi" w:hAnsiTheme="minorHAnsi"/>
          <w:szCs w:val="24"/>
        </w:rPr>
        <w:t>cross-party political support</w:t>
      </w:r>
      <w:r w:rsidRPr="00DA6C6D">
        <w:rPr>
          <w:rFonts w:asciiTheme="minorHAnsi" w:hAnsiTheme="minorHAnsi"/>
          <w:szCs w:val="24"/>
        </w:rPr>
        <w:t xml:space="preserve">, as well as from prominent employers (examples in the legal world include Herbert Smith Freehills, </w:t>
      </w:r>
      <w:proofErr w:type="spellStart"/>
      <w:r w:rsidRPr="00DA6C6D">
        <w:rPr>
          <w:rFonts w:asciiTheme="minorHAnsi" w:hAnsiTheme="minorHAnsi"/>
          <w:szCs w:val="24"/>
        </w:rPr>
        <w:t>Linklaters</w:t>
      </w:r>
      <w:proofErr w:type="spellEnd"/>
      <w:r w:rsidRPr="00DA6C6D">
        <w:rPr>
          <w:rFonts w:asciiTheme="minorHAnsi" w:hAnsiTheme="minorHAnsi"/>
          <w:szCs w:val="24"/>
        </w:rPr>
        <w:t xml:space="preserve">, Mayer Brown, </w:t>
      </w:r>
      <w:r w:rsidR="002D6ACC">
        <w:rPr>
          <w:rFonts w:asciiTheme="minorHAnsi" w:hAnsiTheme="minorHAnsi"/>
          <w:szCs w:val="24"/>
        </w:rPr>
        <w:t xml:space="preserve">Maitland Chambers, </w:t>
      </w:r>
      <w:r w:rsidRPr="00DA6C6D">
        <w:rPr>
          <w:rFonts w:asciiTheme="minorHAnsi" w:hAnsiTheme="minorHAnsi"/>
          <w:szCs w:val="24"/>
        </w:rPr>
        <w:t xml:space="preserve">Matrix Chambers, </w:t>
      </w:r>
      <w:proofErr w:type="spellStart"/>
      <w:r w:rsidRPr="00DA6C6D">
        <w:rPr>
          <w:rFonts w:asciiTheme="minorHAnsi" w:hAnsiTheme="minorHAnsi"/>
          <w:szCs w:val="24"/>
        </w:rPr>
        <w:t>Mishcon</w:t>
      </w:r>
      <w:proofErr w:type="spellEnd"/>
      <w:r w:rsidRPr="00DA6C6D">
        <w:rPr>
          <w:rFonts w:asciiTheme="minorHAnsi" w:hAnsiTheme="minorHAnsi"/>
          <w:szCs w:val="24"/>
        </w:rPr>
        <w:t xml:space="preserve"> de </w:t>
      </w:r>
      <w:proofErr w:type="spellStart"/>
      <w:r w:rsidRPr="00DA6C6D">
        <w:rPr>
          <w:rFonts w:asciiTheme="minorHAnsi" w:hAnsiTheme="minorHAnsi"/>
          <w:szCs w:val="24"/>
        </w:rPr>
        <w:t>Reya</w:t>
      </w:r>
      <w:proofErr w:type="spellEnd"/>
      <w:r w:rsidRPr="00DA6C6D">
        <w:rPr>
          <w:rFonts w:asciiTheme="minorHAnsi" w:hAnsiTheme="minorHAnsi"/>
          <w:szCs w:val="24"/>
        </w:rPr>
        <w:t xml:space="preserve">, Norton Rose Fulbright, Outer Temple Chambers, Slaughter and May, and White and Case); see </w:t>
      </w:r>
      <w:hyperlink r:id="rId9" w:history="1">
        <w:r w:rsidRPr="00DA6C6D">
          <w:rPr>
            <w:rStyle w:val="Hyperlink"/>
            <w:rFonts w:asciiTheme="minorHAnsi" w:hAnsiTheme="minorHAnsi"/>
            <w:szCs w:val="24"/>
          </w:rPr>
          <w:t>http://www.livingwage.org.uk</w:t>
        </w:r>
      </w:hyperlink>
      <w:r w:rsidRPr="00DA6C6D">
        <w:rPr>
          <w:rFonts w:asciiTheme="minorHAnsi" w:hAnsiTheme="minorHAnsi"/>
          <w:szCs w:val="24"/>
        </w:rPr>
        <w:t xml:space="preserve">.  </w:t>
      </w:r>
    </w:p>
    <w:p w:rsidR="00F67E8C" w:rsidRPr="00DA6C6D" w:rsidRDefault="00F67E8C" w:rsidP="00491020">
      <w:pPr>
        <w:spacing w:before="240"/>
        <w:jc w:val="both"/>
        <w:rPr>
          <w:rFonts w:asciiTheme="minorHAnsi" w:hAnsiTheme="minorHAnsi"/>
          <w:b/>
          <w:bCs/>
          <w:szCs w:val="24"/>
        </w:rPr>
      </w:pPr>
      <w:r w:rsidRPr="00DA6C6D">
        <w:rPr>
          <w:rFonts w:asciiTheme="minorHAnsi" w:hAnsiTheme="minorHAnsi"/>
          <w:b/>
          <w:bCs/>
          <w:szCs w:val="24"/>
        </w:rPr>
        <w:t>The case for the LLW</w:t>
      </w:r>
    </w:p>
    <w:p w:rsidR="0046462A" w:rsidRPr="00DA6C6D" w:rsidRDefault="00F67E8C">
      <w:pPr>
        <w:pStyle w:val="ListParagraph"/>
        <w:numPr>
          <w:ilvl w:val="0"/>
          <w:numId w:val="1"/>
        </w:numPr>
        <w:spacing w:before="240"/>
        <w:contextualSpacing w:val="0"/>
        <w:jc w:val="both"/>
        <w:rPr>
          <w:rFonts w:asciiTheme="minorHAnsi" w:hAnsiTheme="minorHAnsi"/>
          <w:szCs w:val="24"/>
        </w:rPr>
      </w:pPr>
      <w:r w:rsidRPr="00DA6C6D">
        <w:rPr>
          <w:rFonts w:asciiTheme="minorHAnsi" w:hAnsiTheme="minorHAnsi"/>
          <w:szCs w:val="24"/>
        </w:rPr>
        <w:t xml:space="preserve">Frankly, the case for paying the LLW </w:t>
      </w:r>
      <w:r w:rsidR="008D7060">
        <w:rPr>
          <w:rFonts w:asciiTheme="minorHAnsi" w:hAnsiTheme="minorHAnsi"/>
          <w:szCs w:val="24"/>
        </w:rPr>
        <w:t>i</w:t>
      </w:r>
      <w:r w:rsidRPr="00DA6C6D">
        <w:rPr>
          <w:rFonts w:asciiTheme="minorHAnsi" w:hAnsiTheme="minorHAnsi"/>
          <w:szCs w:val="24"/>
        </w:rPr>
        <w:t>s primarily a moral one, rather than a business one.  That is not to say that a business case cannot be made, but it is the moral case which is the more compelling one.</w:t>
      </w:r>
    </w:p>
    <w:p w:rsidR="00527E93" w:rsidRPr="00DA6C6D" w:rsidRDefault="00527E93">
      <w:pPr>
        <w:pStyle w:val="ListParagraph"/>
        <w:numPr>
          <w:ilvl w:val="0"/>
          <w:numId w:val="1"/>
        </w:numPr>
        <w:spacing w:before="240"/>
        <w:contextualSpacing w:val="0"/>
        <w:jc w:val="both"/>
        <w:rPr>
          <w:rFonts w:asciiTheme="minorHAnsi" w:hAnsiTheme="minorHAnsi"/>
          <w:szCs w:val="24"/>
        </w:rPr>
      </w:pPr>
      <w:r w:rsidRPr="00DA6C6D">
        <w:rPr>
          <w:rFonts w:asciiTheme="minorHAnsi" w:hAnsiTheme="minorHAnsi"/>
          <w:szCs w:val="24"/>
        </w:rPr>
        <w:t>The moral justification</w:t>
      </w:r>
      <w:r w:rsidR="002C6A75">
        <w:rPr>
          <w:rFonts w:asciiTheme="minorHAnsi" w:hAnsiTheme="minorHAnsi"/>
          <w:szCs w:val="24"/>
        </w:rPr>
        <w:t>,</w:t>
      </w:r>
      <w:r w:rsidRPr="00DA6C6D">
        <w:rPr>
          <w:rFonts w:asciiTheme="minorHAnsi" w:hAnsiTheme="minorHAnsi"/>
          <w:szCs w:val="24"/>
        </w:rPr>
        <w:t xml:space="preserve"> </w:t>
      </w:r>
      <w:r w:rsidR="002C6A75">
        <w:rPr>
          <w:rFonts w:asciiTheme="minorHAnsi" w:hAnsiTheme="minorHAnsi"/>
          <w:szCs w:val="24"/>
        </w:rPr>
        <w:t xml:space="preserve">using cleaning staff as an example (but which could apply equally to </w:t>
      </w:r>
      <w:r w:rsidR="008D7060">
        <w:rPr>
          <w:rFonts w:asciiTheme="minorHAnsi" w:hAnsiTheme="minorHAnsi"/>
          <w:szCs w:val="24"/>
        </w:rPr>
        <w:t>other employees of other suppliers</w:t>
      </w:r>
      <w:r w:rsidR="002C6A75">
        <w:rPr>
          <w:rFonts w:asciiTheme="minorHAnsi" w:hAnsiTheme="minorHAnsi"/>
          <w:szCs w:val="24"/>
        </w:rPr>
        <w:t xml:space="preserve">), </w:t>
      </w:r>
      <w:r w:rsidRPr="00DA6C6D">
        <w:rPr>
          <w:rFonts w:asciiTheme="minorHAnsi" w:hAnsiTheme="minorHAnsi"/>
          <w:szCs w:val="24"/>
        </w:rPr>
        <w:t>is this:</w:t>
      </w:r>
    </w:p>
    <w:p w:rsidR="00527E93" w:rsidRPr="00DA6C6D" w:rsidRDefault="00714C12">
      <w:pPr>
        <w:pStyle w:val="ListParagraph"/>
        <w:numPr>
          <w:ilvl w:val="1"/>
          <w:numId w:val="1"/>
        </w:numPr>
        <w:spacing w:before="240"/>
        <w:ind w:hanging="654"/>
        <w:contextualSpacing w:val="0"/>
        <w:jc w:val="both"/>
        <w:rPr>
          <w:rFonts w:asciiTheme="minorHAnsi" w:hAnsiTheme="minorHAnsi"/>
          <w:szCs w:val="24"/>
        </w:rPr>
      </w:pPr>
      <w:r>
        <w:rPr>
          <w:rFonts w:asciiTheme="minorHAnsi" w:hAnsiTheme="minorHAnsi"/>
          <w:szCs w:val="24"/>
        </w:rPr>
        <w:t>C</w:t>
      </w:r>
      <w:r w:rsidR="00527E93" w:rsidRPr="00DA6C6D">
        <w:rPr>
          <w:rFonts w:asciiTheme="minorHAnsi" w:hAnsiTheme="minorHAnsi"/>
          <w:szCs w:val="24"/>
        </w:rPr>
        <w:t xml:space="preserve">leaners are, on any analysis, poorly paid.  </w:t>
      </w:r>
      <w:r w:rsidR="002C6A75">
        <w:rPr>
          <w:rFonts w:asciiTheme="minorHAnsi" w:hAnsiTheme="minorHAnsi"/>
          <w:szCs w:val="24"/>
        </w:rPr>
        <w:t xml:space="preserve">It would not be surprising to learn that many </w:t>
      </w:r>
      <w:r w:rsidR="00527E93" w:rsidRPr="00DA6C6D">
        <w:rPr>
          <w:rFonts w:asciiTheme="minorHAnsi" w:hAnsiTheme="minorHAnsi"/>
          <w:szCs w:val="24"/>
        </w:rPr>
        <w:t>cleaners ha</w:t>
      </w:r>
      <w:r w:rsidR="002C6A75">
        <w:rPr>
          <w:rFonts w:asciiTheme="minorHAnsi" w:hAnsiTheme="minorHAnsi"/>
          <w:szCs w:val="24"/>
        </w:rPr>
        <w:t>ve</w:t>
      </w:r>
      <w:r w:rsidR="00527E93" w:rsidRPr="00DA6C6D">
        <w:rPr>
          <w:rFonts w:asciiTheme="minorHAnsi" w:hAnsiTheme="minorHAnsi"/>
          <w:szCs w:val="24"/>
        </w:rPr>
        <w:t xml:space="preserve"> at least one or two day jobs to support family and to help make ends meet. </w:t>
      </w:r>
      <w:r w:rsidR="002C6A75">
        <w:rPr>
          <w:rFonts w:asciiTheme="minorHAnsi" w:hAnsiTheme="minorHAnsi"/>
          <w:szCs w:val="24"/>
        </w:rPr>
        <w:t>Generally, t</w:t>
      </w:r>
      <w:r w:rsidR="00527E93" w:rsidRPr="00DA6C6D">
        <w:rPr>
          <w:rFonts w:asciiTheme="minorHAnsi" w:hAnsiTheme="minorHAnsi"/>
          <w:szCs w:val="24"/>
        </w:rPr>
        <w:t xml:space="preserve">hey take the attitude that they do not want to be on benefits. Their hourly rates are </w:t>
      </w:r>
      <w:r w:rsidR="002C6A75">
        <w:rPr>
          <w:rFonts w:asciiTheme="minorHAnsi" w:hAnsiTheme="minorHAnsi"/>
          <w:szCs w:val="24"/>
        </w:rPr>
        <w:t xml:space="preserve">typically </w:t>
      </w:r>
      <w:r w:rsidR="00527E93" w:rsidRPr="00DA6C6D">
        <w:rPr>
          <w:rFonts w:asciiTheme="minorHAnsi" w:hAnsiTheme="minorHAnsi"/>
          <w:szCs w:val="24"/>
        </w:rPr>
        <w:t xml:space="preserve">just above the minimum wage.  </w:t>
      </w:r>
      <w:r w:rsidR="002C6A75">
        <w:rPr>
          <w:rFonts w:asciiTheme="minorHAnsi" w:hAnsiTheme="minorHAnsi"/>
          <w:szCs w:val="24"/>
        </w:rPr>
        <w:t xml:space="preserve">Cleaning companies find it difficult to increase wages because </w:t>
      </w:r>
      <w:r w:rsidR="00527E93" w:rsidRPr="00DA6C6D">
        <w:rPr>
          <w:rFonts w:asciiTheme="minorHAnsi" w:hAnsiTheme="minorHAnsi"/>
          <w:szCs w:val="24"/>
        </w:rPr>
        <w:t>their customers are cost-conscious and they risk losing contracts if they do this.</w:t>
      </w:r>
    </w:p>
    <w:p w:rsidR="00527E93" w:rsidRPr="00DA6C6D" w:rsidRDefault="002C6A75">
      <w:pPr>
        <w:pStyle w:val="ListParagraph"/>
        <w:numPr>
          <w:ilvl w:val="1"/>
          <w:numId w:val="1"/>
        </w:numPr>
        <w:spacing w:before="240"/>
        <w:ind w:hanging="654"/>
        <w:contextualSpacing w:val="0"/>
        <w:jc w:val="both"/>
        <w:rPr>
          <w:rFonts w:asciiTheme="minorHAnsi" w:hAnsiTheme="minorHAnsi"/>
          <w:szCs w:val="24"/>
        </w:rPr>
      </w:pPr>
      <w:r>
        <w:rPr>
          <w:rFonts w:asciiTheme="minorHAnsi" w:hAnsiTheme="minorHAnsi"/>
          <w:szCs w:val="24"/>
        </w:rPr>
        <w:t>Everyone</w:t>
      </w:r>
      <w:r w:rsidR="00B824A4" w:rsidRPr="00DA6C6D">
        <w:rPr>
          <w:rFonts w:asciiTheme="minorHAnsi" w:hAnsiTheme="minorHAnsi"/>
          <w:szCs w:val="24"/>
        </w:rPr>
        <w:t xml:space="preserve"> will know, from experience, the high costs of living and working in London.  On the national minimum wage (or even, indeed, the LLW), simply </w:t>
      </w:r>
      <w:r w:rsidR="00B824A4" w:rsidRPr="00DA6C6D">
        <w:rPr>
          <w:rFonts w:asciiTheme="minorHAnsi" w:hAnsiTheme="minorHAnsi"/>
          <w:szCs w:val="24"/>
        </w:rPr>
        <w:lastRenderedPageBreak/>
        <w:t>travelling to and from Chambers to work</w:t>
      </w:r>
      <w:r w:rsidR="00053AA7" w:rsidRPr="00DA6C6D">
        <w:rPr>
          <w:rFonts w:asciiTheme="minorHAnsi" w:hAnsiTheme="minorHAnsi"/>
          <w:szCs w:val="24"/>
        </w:rPr>
        <w:t xml:space="preserve"> must</w:t>
      </w:r>
      <w:r w:rsidR="00B824A4" w:rsidRPr="00DA6C6D">
        <w:rPr>
          <w:rFonts w:asciiTheme="minorHAnsi" w:hAnsiTheme="minorHAnsi"/>
          <w:szCs w:val="24"/>
        </w:rPr>
        <w:t xml:space="preserve"> represent a significant cost for our cleaners.  </w:t>
      </w:r>
    </w:p>
    <w:p w:rsidR="00B824A4" w:rsidRPr="00DA6C6D" w:rsidRDefault="00B824A4">
      <w:pPr>
        <w:pStyle w:val="ListParagraph"/>
        <w:numPr>
          <w:ilvl w:val="1"/>
          <w:numId w:val="1"/>
        </w:numPr>
        <w:spacing w:before="240"/>
        <w:ind w:hanging="654"/>
        <w:contextualSpacing w:val="0"/>
        <w:jc w:val="both"/>
        <w:rPr>
          <w:rFonts w:asciiTheme="minorHAnsi" w:hAnsiTheme="minorHAnsi"/>
          <w:szCs w:val="24"/>
        </w:rPr>
      </w:pPr>
      <w:r w:rsidRPr="00DA6C6D">
        <w:rPr>
          <w:rFonts w:asciiTheme="minorHAnsi" w:hAnsiTheme="minorHAnsi"/>
          <w:szCs w:val="24"/>
        </w:rPr>
        <w:t>Our cleaners carry out their work at anti-social hours.</w:t>
      </w:r>
    </w:p>
    <w:p w:rsidR="00B824A4" w:rsidRPr="00DA6C6D" w:rsidRDefault="00B824A4">
      <w:pPr>
        <w:pStyle w:val="ListParagraph"/>
        <w:numPr>
          <w:ilvl w:val="1"/>
          <w:numId w:val="1"/>
        </w:numPr>
        <w:spacing w:before="240"/>
        <w:ind w:hanging="654"/>
        <w:contextualSpacing w:val="0"/>
        <w:jc w:val="both"/>
        <w:rPr>
          <w:rFonts w:asciiTheme="minorHAnsi" w:hAnsiTheme="minorHAnsi"/>
          <w:szCs w:val="24"/>
        </w:rPr>
      </w:pPr>
      <w:r w:rsidRPr="00DA6C6D">
        <w:rPr>
          <w:rFonts w:asciiTheme="minorHAnsi" w:hAnsiTheme="minorHAnsi"/>
          <w:szCs w:val="24"/>
        </w:rPr>
        <w:t xml:space="preserve">The sums involved </w:t>
      </w:r>
      <w:r w:rsidR="007F19B3">
        <w:rPr>
          <w:rFonts w:asciiTheme="minorHAnsi" w:hAnsiTheme="minorHAnsi"/>
          <w:szCs w:val="24"/>
        </w:rPr>
        <w:t>are very likely to be</w:t>
      </w:r>
      <w:r w:rsidRPr="00DA6C6D">
        <w:rPr>
          <w:rFonts w:asciiTheme="minorHAnsi" w:hAnsiTheme="minorHAnsi"/>
          <w:szCs w:val="24"/>
        </w:rPr>
        <w:t xml:space="preserve">, in the overall context of Chambers’ income and expenditure, trivial.  They have the potential, however, to give tangible benefits to </w:t>
      </w:r>
      <w:r w:rsidR="007F19B3">
        <w:rPr>
          <w:rFonts w:asciiTheme="minorHAnsi" w:hAnsiTheme="minorHAnsi"/>
          <w:szCs w:val="24"/>
        </w:rPr>
        <w:t>the</w:t>
      </w:r>
      <w:r w:rsidRPr="00DA6C6D">
        <w:rPr>
          <w:rFonts w:asciiTheme="minorHAnsi" w:hAnsiTheme="minorHAnsi"/>
          <w:szCs w:val="24"/>
        </w:rPr>
        <w:t xml:space="preserve"> cleaners.  </w:t>
      </w:r>
      <w:r w:rsidR="007F19B3">
        <w:rPr>
          <w:rFonts w:asciiTheme="minorHAnsi" w:hAnsiTheme="minorHAnsi"/>
          <w:szCs w:val="24"/>
        </w:rPr>
        <w:t>T</w:t>
      </w:r>
      <w:r w:rsidRPr="00DA6C6D">
        <w:rPr>
          <w:rFonts w:asciiTheme="minorHAnsi" w:hAnsiTheme="minorHAnsi"/>
          <w:szCs w:val="24"/>
        </w:rPr>
        <w:t xml:space="preserve">he personal circumstances of each cleaner, </w:t>
      </w:r>
      <w:r w:rsidR="007F19B3">
        <w:rPr>
          <w:rFonts w:asciiTheme="minorHAnsi" w:hAnsiTheme="minorHAnsi"/>
          <w:szCs w:val="24"/>
        </w:rPr>
        <w:t>and</w:t>
      </w:r>
      <w:r w:rsidRPr="00DA6C6D">
        <w:rPr>
          <w:rFonts w:asciiTheme="minorHAnsi" w:hAnsiTheme="minorHAnsi"/>
          <w:szCs w:val="24"/>
        </w:rPr>
        <w:t xml:space="preserve"> the extent to which they would materially benefit from being paid the LLW</w:t>
      </w:r>
      <w:r w:rsidR="007F19B3">
        <w:rPr>
          <w:rFonts w:asciiTheme="minorHAnsi" w:hAnsiTheme="minorHAnsi"/>
          <w:szCs w:val="24"/>
        </w:rPr>
        <w:t xml:space="preserve"> is not known</w:t>
      </w:r>
      <w:r w:rsidRPr="00DA6C6D">
        <w:rPr>
          <w:rFonts w:asciiTheme="minorHAnsi" w:hAnsiTheme="minorHAnsi"/>
          <w:szCs w:val="24"/>
        </w:rPr>
        <w:t xml:space="preserve">, but the Case Studies given by the Living Wage Commission in its recent Interim Report at </w:t>
      </w:r>
      <w:hyperlink r:id="rId10" w:history="1">
        <w:r w:rsidRPr="00DA6C6D">
          <w:rPr>
            <w:rStyle w:val="Hyperlink"/>
            <w:rFonts w:asciiTheme="minorHAnsi" w:hAnsiTheme="minorHAnsi"/>
            <w:szCs w:val="24"/>
          </w:rPr>
          <w:t>http://livingwagecommission.org.uk/wp-content/uploads/2014/02/Living-Wage-Commission-Report-v2_f-1.pdf</w:t>
        </w:r>
      </w:hyperlink>
      <w:r w:rsidRPr="00DA6C6D">
        <w:rPr>
          <w:rFonts w:asciiTheme="minorHAnsi" w:hAnsiTheme="minorHAnsi"/>
          <w:szCs w:val="24"/>
        </w:rPr>
        <w:t xml:space="preserve"> strongly suggest that even small wage increases can make a significant practical difference to low paid workers.</w:t>
      </w:r>
    </w:p>
    <w:p w:rsidR="000C1CB5" w:rsidRPr="00DA6C6D" w:rsidRDefault="007F19B3">
      <w:pPr>
        <w:pStyle w:val="ListParagraph"/>
        <w:numPr>
          <w:ilvl w:val="1"/>
          <w:numId w:val="1"/>
        </w:numPr>
        <w:spacing w:before="240"/>
        <w:ind w:hanging="654"/>
        <w:contextualSpacing w:val="0"/>
        <w:jc w:val="both"/>
        <w:rPr>
          <w:rFonts w:asciiTheme="minorHAnsi" w:hAnsiTheme="minorHAnsi"/>
          <w:szCs w:val="24"/>
        </w:rPr>
      </w:pPr>
      <w:r>
        <w:rPr>
          <w:rFonts w:asciiTheme="minorHAnsi" w:hAnsiTheme="minorHAnsi"/>
          <w:szCs w:val="24"/>
        </w:rPr>
        <w:t>A</w:t>
      </w:r>
      <w:r w:rsidR="000C1CB5" w:rsidRPr="00DA6C6D">
        <w:rPr>
          <w:rFonts w:asciiTheme="minorHAnsi" w:hAnsiTheme="minorHAnsi"/>
          <w:szCs w:val="24"/>
        </w:rPr>
        <w:t xml:space="preserve"> successful and prosperous Chamber</w:t>
      </w:r>
      <w:r w:rsidR="008D7060">
        <w:rPr>
          <w:rFonts w:asciiTheme="minorHAnsi" w:hAnsiTheme="minorHAnsi"/>
          <w:szCs w:val="24"/>
        </w:rPr>
        <w:t>s</w:t>
      </w:r>
      <w:r w:rsidR="000C1CB5" w:rsidRPr="00DA6C6D">
        <w:rPr>
          <w:rFonts w:asciiTheme="minorHAnsi" w:hAnsiTheme="minorHAnsi"/>
          <w:szCs w:val="24"/>
        </w:rPr>
        <w:t xml:space="preserve"> should set an example to others in the way </w:t>
      </w:r>
      <w:r>
        <w:rPr>
          <w:rFonts w:asciiTheme="minorHAnsi" w:hAnsiTheme="minorHAnsi"/>
          <w:szCs w:val="24"/>
        </w:rPr>
        <w:t>they</w:t>
      </w:r>
      <w:r w:rsidR="000C1CB5" w:rsidRPr="00DA6C6D">
        <w:rPr>
          <w:rFonts w:asciiTheme="minorHAnsi" w:hAnsiTheme="minorHAnsi"/>
          <w:szCs w:val="24"/>
        </w:rPr>
        <w:t xml:space="preserve"> treat those who work for </w:t>
      </w:r>
      <w:r>
        <w:rPr>
          <w:rFonts w:asciiTheme="minorHAnsi" w:hAnsiTheme="minorHAnsi"/>
          <w:szCs w:val="24"/>
        </w:rPr>
        <w:t>them</w:t>
      </w:r>
      <w:r w:rsidR="000C1CB5" w:rsidRPr="00DA6C6D">
        <w:rPr>
          <w:rFonts w:asciiTheme="minorHAnsi" w:hAnsiTheme="minorHAnsi"/>
          <w:szCs w:val="24"/>
        </w:rPr>
        <w:t xml:space="preserve">, and it is also right that insofar as </w:t>
      </w:r>
      <w:r>
        <w:rPr>
          <w:rFonts w:asciiTheme="minorHAnsi" w:hAnsiTheme="minorHAnsi"/>
          <w:szCs w:val="24"/>
        </w:rPr>
        <w:t>they</w:t>
      </w:r>
      <w:r w:rsidR="000C1CB5" w:rsidRPr="00DA6C6D">
        <w:rPr>
          <w:rFonts w:asciiTheme="minorHAnsi" w:hAnsiTheme="minorHAnsi"/>
          <w:szCs w:val="24"/>
        </w:rPr>
        <w:t xml:space="preserve"> are able </w:t>
      </w:r>
      <w:r w:rsidR="004F2150" w:rsidRPr="00DA6C6D">
        <w:rPr>
          <w:rFonts w:asciiTheme="minorHAnsi" w:hAnsiTheme="minorHAnsi"/>
          <w:szCs w:val="24"/>
        </w:rPr>
        <w:t xml:space="preserve">to do so </w:t>
      </w:r>
      <w:r>
        <w:rPr>
          <w:rFonts w:asciiTheme="minorHAnsi" w:hAnsiTheme="minorHAnsi"/>
          <w:szCs w:val="24"/>
        </w:rPr>
        <w:t>they</w:t>
      </w:r>
      <w:r w:rsidR="000C1CB5" w:rsidRPr="00DA6C6D">
        <w:rPr>
          <w:rFonts w:asciiTheme="minorHAnsi" w:hAnsiTheme="minorHAnsi"/>
          <w:szCs w:val="24"/>
        </w:rPr>
        <w:t xml:space="preserve"> should ensure that all who contribute to the functioning of </w:t>
      </w:r>
      <w:r>
        <w:rPr>
          <w:rFonts w:asciiTheme="minorHAnsi" w:hAnsiTheme="minorHAnsi"/>
          <w:szCs w:val="24"/>
        </w:rPr>
        <w:t>their</w:t>
      </w:r>
      <w:r w:rsidR="000C1CB5" w:rsidRPr="00DA6C6D">
        <w:rPr>
          <w:rFonts w:asciiTheme="minorHAnsi" w:hAnsiTheme="minorHAnsi"/>
          <w:szCs w:val="24"/>
        </w:rPr>
        <w:t xml:space="preserve"> Chambers (including cleaners) receive a proper wage.</w:t>
      </w:r>
    </w:p>
    <w:p w:rsidR="00B824A4" w:rsidRPr="00DA6C6D" w:rsidRDefault="007F19B3">
      <w:pPr>
        <w:pStyle w:val="ListParagraph"/>
        <w:numPr>
          <w:ilvl w:val="0"/>
          <w:numId w:val="1"/>
        </w:numPr>
        <w:spacing w:before="240"/>
        <w:contextualSpacing w:val="0"/>
        <w:jc w:val="both"/>
        <w:rPr>
          <w:rFonts w:asciiTheme="minorHAnsi" w:hAnsiTheme="minorHAnsi"/>
          <w:szCs w:val="24"/>
        </w:rPr>
      </w:pPr>
      <w:r>
        <w:rPr>
          <w:rFonts w:asciiTheme="minorHAnsi" w:hAnsiTheme="minorHAnsi"/>
          <w:szCs w:val="24"/>
        </w:rPr>
        <w:t>On the</w:t>
      </w:r>
      <w:r w:rsidR="008B31AA" w:rsidRPr="00DA6C6D">
        <w:rPr>
          <w:rFonts w:asciiTheme="minorHAnsi" w:hAnsiTheme="minorHAnsi"/>
          <w:szCs w:val="24"/>
        </w:rPr>
        <w:t xml:space="preserve"> business case, </w:t>
      </w:r>
      <w:r>
        <w:rPr>
          <w:rFonts w:asciiTheme="minorHAnsi" w:hAnsiTheme="minorHAnsi"/>
          <w:szCs w:val="24"/>
        </w:rPr>
        <w:t>there are</w:t>
      </w:r>
      <w:r w:rsidR="008B31AA" w:rsidRPr="00DA6C6D">
        <w:rPr>
          <w:rFonts w:asciiTheme="minorHAnsi" w:hAnsiTheme="minorHAnsi"/>
          <w:szCs w:val="24"/>
        </w:rPr>
        <w:t xml:space="preserve"> two points:</w:t>
      </w:r>
    </w:p>
    <w:p w:rsidR="008B31AA" w:rsidRPr="00DA6C6D" w:rsidRDefault="008B31AA">
      <w:pPr>
        <w:pStyle w:val="ListParagraph"/>
        <w:numPr>
          <w:ilvl w:val="1"/>
          <w:numId w:val="1"/>
        </w:numPr>
        <w:spacing w:before="240"/>
        <w:ind w:hanging="654"/>
        <w:contextualSpacing w:val="0"/>
        <w:jc w:val="both"/>
        <w:rPr>
          <w:rFonts w:asciiTheme="minorHAnsi" w:hAnsiTheme="minorHAnsi"/>
          <w:szCs w:val="24"/>
        </w:rPr>
      </w:pPr>
      <w:r w:rsidRPr="00DA6C6D">
        <w:rPr>
          <w:rFonts w:asciiTheme="minorHAnsi" w:hAnsiTheme="minorHAnsi"/>
          <w:szCs w:val="24"/>
        </w:rPr>
        <w:t xml:space="preserve">The business case for paying the LLW is primarily a risk management one.  The first risk is that clients such as large financial institutions may well seek to assess suppliers (including </w:t>
      </w:r>
      <w:r w:rsidR="00A73C86" w:rsidRPr="00DA6C6D">
        <w:rPr>
          <w:rFonts w:asciiTheme="minorHAnsi" w:hAnsiTheme="minorHAnsi"/>
          <w:szCs w:val="24"/>
        </w:rPr>
        <w:t>Chambers</w:t>
      </w:r>
      <w:r w:rsidRPr="00DA6C6D">
        <w:rPr>
          <w:rFonts w:asciiTheme="minorHAnsi" w:hAnsiTheme="minorHAnsi"/>
          <w:szCs w:val="24"/>
        </w:rPr>
        <w:t xml:space="preserve">) on the basis of whether they meet minimum standards which include a commitment to the LLW.  The second risk is </w:t>
      </w:r>
      <w:r w:rsidR="008573F1" w:rsidRPr="00DA6C6D">
        <w:rPr>
          <w:rFonts w:asciiTheme="minorHAnsi" w:hAnsiTheme="minorHAnsi"/>
          <w:szCs w:val="24"/>
        </w:rPr>
        <w:t>reputational.  It is perfectly foreseeable that elements of the media may take an interest in “wealthy employers</w:t>
      </w:r>
      <w:r w:rsidR="00E9488B" w:rsidRPr="00DA6C6D">
        <w:rPr>
          <w:rFonts w:asciiTheme="minorHAnsi" w:hAnsiTheme="minorHAnsi"/>
          <w:szCs w:val="24"/>
        </w:rPr>
        <w:t>” who do not pay the LLW</w:t>
      </w:r>
      <w:r w:rsidR="008573F1" w:rsidRPr="00DA6C6D">
        <w:rPr>
          <w:rFonts w:asciiTheme="minorHAnsi" w:hAnsiTheme="minorHAnsi"/>
          <w:szCs w:val="24"/>
        </w:rPr>
        <w:t xml:space="preserve">, and </w:t>
      </w:r>
      <w:r w:rsidR="007F19B3">
        <w:rPr>
          <w:rFonts w:asciiTheme="minorHAnsi" w:hAnsiTheme="minorHAnsi"/>
          <w:szCs w:val="24"/>
        </w:rPr>
        <w:t>Chambers</w:t>
      </w:r>
      <w:r w:rsidRPr="00DA6C6D">
        <w:rPr>
          <w:rFonts w:asciiTheme="minorHAnsi" w:hAnsiTheme="minorHAnsi"/>
          <w:szCs w:val="24"/>
        </w:rPr>
        <w:t xml:space="preserve"> </w:t>
      </w:r>
      <w:r w:rsidR="008573F1" w:rsidRPr="00DA6C6D">
        <w:rPr>
          <w:rFonts w:asciiTheme="minorHAnsi" w:hAnsiTheme="minorHAnsi"/>
          <w:szCs w:val="24"/>
        </w:rPr>
        <w:t>risk being portrayed</w:t>
      </w:r>
      <w:r w:rsidRPr="00DA6C6D">
        <w:rPr>
          <w:rFonts w:asciiTheme="minorHAnsi" w:hAnsiTheme="minorHAnsi"/>
          <w:szCs w:val="24"/>
        </w:rPr>
        <w:t xml:space="preserve"> as uncaring fat cats.  </w:t>
      </w:r>
    </w:p>
    <w:p w:rsidR="008B31AA" w:rsidRPr="00DA6C6D" w:rsidRDefault="008573F1" w:rsidP="00491020">
      <w:pPr>
        <w:pStyle w:val="ListParagraph"/>
        <w:numPr>
          <w:ilvl w:val="1"/>
          <w:numId w:val="1"/>
        </w:numPr>
        <w:spacing w:before="240"/>
        <w:contextualSpacing w:val="0"/>
        <w:jc w:val="both"/>
        <w:rPr>
          <w:rFonts w:asciiTheme="minorHAnsi" w:hAnsiTheme="minorHAnsi"/>
          <w:szCs w:val="24"/>
        </w:rPr>
      </w:pPr>
      <w:r w:rsidRPr="00DA6C6D">
        <w:rPr>
          <w:rFonts w:asciiTheme="minorHAnsi" w:hAnsiTheme="minorHAnsi"/>
          <w:szCs w:val="24"/>
        </w:rPr>
        <w:t xml:space="preserve">In addition there is the question of morale.  A work force that is paid a proper living wage is less likely to be demoralised.  Paying the LLW has the potential to increase </w:t>
      </w:r>
      <w:r w:rsidR="005D03FE" w:rsidRPr="00DA6C6D">
        <w:rPr>
          <w:rFonts w:asciiTheme="minorHAnsi" w:hAnsiTheme="minorHAnsi"/>
          <w:szCs w:val="24"/>
        </w:rPr>
        <w:t xml:space="preserve">morale and </w:t>
      </w:r>
      <w:r w:rsidRPr="00DA6C6D">
        <w:rPr>
          <w:rFonts w:asciiTheme="minorHAnsi" w:hAnsiTheme="minorHAnsi"/>
          <w:szCs w:val="24"/>
        </w:rPr>
        <w:t>productivity.</w:t>
      </w:r>
      <w:r w:rsidR="008B31AA" w:rsidRPr="00DA6C6D">
        <w:rPr>
          <w:rFonts w:asciiTheme="minorHAnsi" w:hAnsiTheme="minorHAnsi"/>
          <w:szCs w:val="24"/>
        </w:rPr>
        <w:t xml:space="preserve"> </w:t>
      </w:r>
      <w:r w:rsidR="006F2693" w:rsidRPr="00DA6C6D">
        <w:rPr>
          <w:rFonts w:asciiTheme="minorHAnsi" w:hAnsiTheme="minorHAnsi"/>
          <w:szCs w:val="24"/>
        </w:rPr>
        <w:t xml:space="preserve">According to </w:t>
      </w:r>
      <w:r w:rsidR="00BA3AFE" w:rsidRPr="00DA6C6D">
        <w:rPr>
          <w:rFonts w:asciiTheme="minorHAnsi" w:hAnsiTheme="minorHAnsi"/>
          <w:szCs w:val="24"/>
        </w:rPr>
        <w:t>www.</w:t>
      </w:r>
      <w:r w:rsidR="006F2693" w:rsidRPr="00C271D7">
        <w:rPr>
          <w:rFonts w:asciiTheme="minorHAnsi" w:hAnsiTheme="minorHAnsi"/>
        </w:rPr>
        <w:t>livingwage.org.uk</w:t>
      </w:r>
      <w:r w:rsidR="006F2693" w:rsidRPr="00DA6C6D">
        <w:rPr>
          <w:rFonts w:asciiTheme="minorHAnsi" w:hAnsiTheme="minorHAnsi"/>
          <w:szCs w:val="24"/>
        </w:rPr>
        <w:t>, “an independent study examining the business benefits of implementing a Living Wage policy in London found that more than 80% of employers believe that the Living Wage had enhanced the quality of the work of their staff”</w:t>
      </w:r>
      <w:r w:rsidR="00BA3AFE" w:rsidRPr="00DA6C6D">
        <w:rPr>
          <w:rFonts w:asciiTheme="minorHAnsi" w:hAnsiTheme="minorHAnsi"/>
          <w:szCs w:val="24"/>
        </w:rPr>
        <w:t xml:space="preserve">. </w:t>
      </w:r>
    </w:p>
    <w:p w:rsidR="008B31AA" w:rsidRDefault="007F19B3">
      <w:pPr>
        <w:pStyle w:val="ListParagraph"/>
        <w:numPr>
          <w:ilvl w:val="0"/>
          <w:numId w:val="1"/>
        </w:numPr>
        <w:spacing w:before="240"/>
        <w:contextualSpacing w:val="0"/>
        <w:jc w:val="both"/>
        <w:rPr>
          <w:rFonts w:asciiTheme="minorHAnsi" w:hAnsiTheme="minorHAnsi"/>
          <w:szCs w:val="24"/>
        </w:rPr>
      </w:pPr>
      <w:r>
        <w:rPr>
          <w:rFonts w:asciiTheme="minorHAnsi" w:hAnsiTheme="minorHAnsi"/>
          <w:szCs w:val="24"/>
        </w:rPr>
        <w:t>It is stressed</w:t>
      </w:r>
      <w:r w:rsidR="008573F1" w:rsidRPr="00DA6C6D">
        <w:rPr>
          <w:rFonts w:asciiTheme="minorHAnsi" w:hAnsiTheme="minorHAnsi"/>
          <w:szCs w:val="24"/>
        </w:rPr>
        <w:t>, that it is the moral case which is the more compelling one.</w:t>
      </w:r>
    </w:p>
    <w:p w:rsidR="006F624B" w:rsidRPr="00DA6C6D" w:rsidRDefault="006F624B" w:rsidP="006F624B">
      <w:pPr>
        <w:pStyle w:val="ListParagraph"/>
        <w:numPr>
          <w:ilvl w:val="0"/>
          <w:numId w:val="1"/>
        </w:numPr>
        <w:spacing w:before="240"/>
        <w:contextualSpacing w:val="0"/>
        <w:jc w:val="both"/>
        <w:rPr>
          <w:rFonts w:asciiTheme="minorHAnsi" w:hAnsiTheme="minorHAnsi"/>
          <w:szCs w:val="24"/>
        </w:rPr>
      </w:pPr>
      <w:r>
        <w:rPr>
          <w:rFonts w:asciiTheme="minorHAnsi" w:hAnsiTheme="minorHAnsi"/>
          <w:szCs w:val="24"/>
        </w:rPr>
        <w:t xml:space="preserve">The </w:t>
      </w:r>
      <w:r w:rsidRPr="006F624B">
        <w:rPr>
          <w:rFonts w:asciiTheme="minorHAnsi" w:hAnsiTheme="minorHAnsi"/>
          <w:szCs w:val="24"/>
          <w:highlight w:val="yellow"/>
        </w:rPr>
        <w:t>[Management Committee]</w:t>
      </w:r>
      <w:r>
        <w:rPr>
          <w:rFonts w:asciiTheme="minorHAnsi" w:hAnsiTheme="minorHAnsi"/>
          <w:szCs w:val="24"/>
        </w:rPr>
        <w:t xml:space="preserve"> is therefore asked to take the necessary steps to ensure that all those working for Chambers, including contract cleaning staff, are paid the LLW for the time spent working in Chambers.</w:t>
      </w:r>
      <w:bookmarkStart w:id="0" w:name="_GoBack"/>
      <w:bookmarkEnd w:id="0"/>
    </w:p>
    <w:p w:rsidR="007F19B3" w:rsidRDefault="007F19B3" w:rsidP="00491020">
      <w:pPr>
        <w:spacing w:before="240"/>
        <w:jc w:val="both"/>
        <w:rPr>
          <w:rFonts w:asciiTheme="minorHAnsi" w:hAnsiTheme="minorHAnsi"/>
          <w:b/>
          <w:bCs/>
          <w:szCs w:val="24"/>
        </w:rPr>
      </w:pPr>
    </w:p>
    <w:sectPr w:rsidR="007F19B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23" w:rsidRDefault="00216823" w:rsidP="00422879">
      <w:pPr>
        <w:spacing w:after="0" w:line="240" w:lineRule="auto"/>
      </w:pPr>
      <w:r>
        <w:separator/>
      </w:r>
    </w:p>
  </w:endnote>
  <w:endnote w:type="continuationSeparator" w:id="0">
    <w:p w:rsidR="00216823" w:rsidRDefault="00216823" w:rsidP="0042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25809"/>
      <w:docPartObj>
        <w:docPartGallery w:val="Page Numbers (Bottom of Page)"/>
        <w:docPartUnique/>
      </w:docPartObj>
    </w:sdtPr>
    <w:sdtEndPr>
      <w:rPr>
        <w:noProof/>
      </w:rPr>
    </w:sdtEndPr>
    <w:sdtContent>
      <w:p w:rsidR="008573F1" w:rsidRDefault="008573F1">
        <w:pPr>
          <w:pStyle w:val="Footer"/>
          <w:jc w:val="center"/>
        </w:pPr>
        <w:r>
          <w:fldChar w:fldCharType="begin"/>
        </w:r>
        <w:r>
          <w:instrText xml:space="preserve"> PAGE   \* MERGEFORMAT </w:instrText>
        </w:r>
        <w:r>
          <w:fldChar w:fldCharType="separate"/>
        </w:r>
        <w:r w:rsidR="006F624B">
          <w:rPr>
            <w:noProof/>
          </w:rPr>
          <w:t>4</w:t>
        </w:r>
        <w:r>
          <w:rPr>
            <w:noProof/>
          </w:rPr>
          <w:fldChar w:fldCharType="end"/>
        </w:r>
      </w:p>
    </w:sdtContent>
  </w:sdt>
  <w:p w:rsidR="00422879" w:rsidRDefault="00422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23" w:rsidRDefault="00216823" w:rsidP="00422879">
      <w:pPr>
        <w:spacing w:after="0" w:line="240" w:lineRule="auto"/>
      </w:pPr>
      <w:r>
        <w:separator/>
      </w:r>
    </w:p>
  </w:footnote>
  <w:footnote w:type="continuationSeparator" w:id="0">
    <w:p w:rsidR="00216823" w:rsidRDefault="00216823" w:rsidP="00422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86" w:rsidRPr="00F73808" w:rsidRDefault="00425686" w:rsidP="00425686">
    <w:pPr>
      <w:pStyle w:val="Header"/>
      <w:jc w:val="right"/>
      <w:rPr>
        <w:rFonts w:asciiTheme="minorHAnsi" w:hAnsiTheme="minorHAnsi"/>
        <w:sz w:val="22"/>
      </w:rPr>
    </w:pPr>
    <w:r w:rsidRPr="00F73808">
      <w:rPr>
        <w:rFonts w:asciiTheme="minorHAnsi" w:hAnsiTheme="minorHAnsi"/>
        <w:sz w:val="22"/>
      </w:rPr>
      <w:t>Confidential</w:t>
    </w:r>
  </w:p>
  <w:p w:rsidR="00425686" w:rsidRDefault="00425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620E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EA2F2C"/>
    <w:multiLevelType w:val="hybridMultilevel"/>
    <w:tmpl w:val="E6A00486"/>
    <w:lvl w:ilvl="0" w:tplc="4BF450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4213DE"/>
    <w:multiLevelType w:val="hybridMultilevel"/>
    <w:tmpl w:val="9F609C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6C204458"/>
    <w:multiLevelType w:val="hybridMultilevel"/>
    <w:tmpl w:val="CD000836"/>
    <w:lvl w:ilvl="0" w:tplc="F55EBB10">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6F57922"/>
    <w:multiLevelType w:val="hybridMultilevel"/>
    <w:tmpl w:val="6436FE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085CD0"/>
    <w:multiLevelType w:val="hybridMultilevel"/>
    <w:tmpl w:val="ADA28C06"/>
    <w:lvl w:ilvl="0" w:tplc="0809000F">
      <w:start w:val="1"/>
      <w:numFmt w:val="decimal"/>
      <w:lvlText w:val="%1."/>
      <w:lvlJc w:val="left"/>
      <w:pPr>
        <w:ind w:left="360" w:hanging="360"/>
      </w:pPr>
      <w:rPr>
        <w:rFonts w:hint="default"/>
      </w:rPr>
    </w:lvl>
    <w:lvl w:ilvl="1" w:tplc="5220104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EA"/>
    <w:rsid w:val="00006E48"/>
    <w:rsid w:val="00024A88"/>
    <w:rsid w:val="000256A3"/>
    <w:rsid w:val="00044FC3"/>
    <w:rsid w:val="00053AA7"/>
    <w:rsid w:val="000B66A0"/>
    <w:rsid w:val="000C1CB5"/>
    <w:rsid w:val="000D38B1"/>
    <w:rsid w:val="000D4ED3"/>
    <w:rsid w:val="000D5FBF"/>
    <w:rsid w:val="0010082F"/>
    <w:rsid w:val="00120441"/>
    <w:rsid w:val="001208FE"/>
    <w:rsid w:val="00123DAF"/>
    <w:rsid w:val="00143F27"/>
    <w:rsid w:val="00176162"/>
    <w:rsid w:val="0018443F"/>
    <w:rsid w:val="001E6BC7"/>
    <w:rsid w:val="001F785A"/>
    <w:rsid w:val="00216823"/>
    <w:rsid w:val="00217692"/>
    <w:rsid w:val="00270459"/>
    <w:rsid w:val="00277E9B"/>
    <w:rsid w:val="002C6A75"/>
    <w:rsid w:val="002C6FEA"/>
    <w:rsid w:val="002D6ACC"/>
    <w:rsid w:val="002E3124"/>
    <w:rsid w:val="002E4D99"/>
    <w:rsid w:val="002E6C5F"/>
    <w:rsid w:val="002F2731"/>
    <w:rsid w:val="00312E77"/>
    <w:rsid w:val="00331DA0"/>
    <w:rsid w:val="003432F5"/>
    <w:rsid w:val="0034383B"/>
    <w:rsid w:val="00361ECA"/>
    <w:rsid w:val="0037625D"/>
    <w:rsid w:val="003B0219"/>
    <w:rsid w:val="003C39D9"/>
    <w:rsid w:val="003C509F"/>
    <w:rsid w:val="003C63C7"/>
    <w:rsid w:val="003D48DF"/>
    <w:rsid w:val="003E1A94"/>
    <w:rsid w:val="003E3C42"/>
    <w:rsid w:val="00422879"/>
    <w:rsid w:val="00425686"/>
    <w:rsid w:val="00430B63"/>
    <w:rsid w:val="0046462A"/>
    <w:rsid w:val="004661AF"/>
    <w:rsid w:val="0047257B"/>
    <w:rsid w:val="00472B78"/>
    <w:rsid w:val="00473ECC"/>
    <w:rsid w:val="00491020"/>
    <w:rsid w:val="00497538"/>
    <w:rsid w:val="004B0197"/>
    <w:rsid w:val="004D519A"/>
    <w:rsid w:val="004E41E0"/>
    <w:rsid w:val="004F1991"/>
    <w:rsid w:val="004F2150"/>
    <w:rsid w:val="0050357C"/>
    <w:rsid w:val="005076C7"/>
    <w:rsid w:val="005109F5"/>
    <w:rsid w:val="00513ABE"/>
    <w:rsid w:val="00521C49"/>
    <w:rsid w:val="00527E93"/>
    <w:rsid w:val="00532963"/>
    <w:rsid w:val="0054263F"/>
    <w:rsid w:val="005438F9"/>
    <w:rsid w:val="00583BF2"/>
    <w:rsid w:val="005A2DB9"/>
    <w:rsid w:val="005C5A23"/>
    <w:rsid w:val="005D03FE"/>
    <w:rsid w:val="006011E4"/>
    <w:rsid w:val="00641CE7"/>
    <w:rsid w:val="006A1EE4"/>
    <w:rsid w:val="006D3521"/>
    <w:rsid w:val="006F2693"/>
    <w:rsid w:val="006F624B"/>
    <w:rsid w:val="00714C12"/>
    <w:rsid w:val="00715A8D"/>
    <w:rsid w:val="0071652E"/>
    <w:rsid w:val="0071684D"/>
    <w:rsid w:val="0072182F"/>
    <w:rsid w:val="007A54D6"/>
    <w:rsid w:val="007B4739"/>
    <w:rsid w:val="007C3C2F"/>
    <w:rsid w:val="007E19C6"/>
    <w:rsid w:val="007F19B3"/>
    <w:rsid w:val="007F2806"/>
    <w:rsid w:val="007F46A1"/>
    <w:rsid w:val="007F4771"/>
    <w:rsid w:val="007F692A"/>
    <w:rsid w:val="00815469"/>
    <w:rsid w:val="00815F8A"/>
    <w:rsid w:val="0084454A"/>
    <w:rsid w:val="008573F1"/>
    <w:rsid w:val="008629B8"/>
    <w:rsid w:val="0088158C"/>
    <w:rsid w:val="00887722"/>
    <w:rsid w:val="008B31AA"/>
    <w:rsid w:val="008D07DD"/>
    <w:rsid w:val="008D7060"/>
    <w:rsid w:val="00914697"/>
    <w:rsid w:val="00936D14"/>
    <w:rsid w:val="0094173E"/>
    <w:rsid w:val="00960BBA"/>
    <w:rsid w:val="0098454D"/>
    <w:rsid w:val="009B00C3"/>
    <w:rsid w:val="009C1E97"/>
    <w:rsid w:val="009C4ACF"/>
    <w:rsid w:val="009F1846"/>
    <w:rsid w:val="00A32ED0"/>
    <w:rsid w:val="00A62862"/>
    <w:rsid w:val="00A73C86"/>
    <w:rsid w:val="00A91679"/>
    <w:rsid w:val="00AB73F0"/>
    <w:rsid w:val="00B42413"/>
    <w:rsid w:val="00B6551D"/>
    <w:rsid w:val="00B824A4"/>
    <w:rsid w:val="00BA21BC"/>
    <w:rsid w:val="00BA3AFE"/>
    <w:rsid w:val="00BF43DF"/>
    <w:rsid w:val="00C04567"/>
    <w:rsid w:val="00C06AB4"/>
    <w:rsid w:val="00C22BEB"/>
    <w:rsid w:val="00C271D7"/>
    <w:rsid w:val="00C52FB7"/>
    <w:rsid w:val="00C70426"/>
    <w:rsid w:val="00C937E4"/>
    <w:rsid w:val="00CD251E"/>
    <w:rsid w:val="00D0219F"/>
    <w:rsid w:val="00D032C3"/>
    <w:rsid w:val="00D26585"/>
    <w:rsid w:val="00D42844"/>
    <w:rsid w:val="00D43104"/>
    <w:rsid w:val="00D9017A"/>
    <w:rsid w:val="00D9147A"/>
    <w:rsid w:val="00D9212C"/>
    <w:rsid w:val="00DA6C6D"/>
    <w:rsid w:val="00DB3AAB"/>
    <w:rsid w:val="00DB40B5"/>
    <w:rsid w:val="00DB45F0"/>
    <w:rsid w:val="00DC0F38"/>
    <w:rsid w:val="00E45A09"/>
    <w:rsid w:val="00E67278"/>
    <w:rsid w:val="00E71D8F"/>
    <w:rsid w:val="00E85374"/>
    <w:rsid w:val="00E9488B"/>
    <w:rsid w:val="00EA1DBC"/>
    <w:rsid w:val="00EA31A1"/>
    <w:rsid w:val="00EB4917"/>
    <w:rsid w:val="00EC1096"/>
    <w:rsid w:val="00EC1604"/>
    <w:rsid w:val="00EC31FC"/>
    <w:rsid w:val="00ED5710"/>
    <w:rsid w:val="00EE1654"/>
    <w:rsid w:val="00EE3325"/>
    <w:rsid w:val="00EF6AC0"/>
    <w:rsid w:val="00F052A7"/>
    <w:rsid w:val="00F67E8C"/>
    <w:rsid w:val="00F73808"/>
    <w:rsid w:val="00F9738F"/>
    <w:rsid w:val="00FE0CAC"/>
    <w:rsid w:val="00FE6290"/>
    <w:rsid w:val="00FF1C8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EA"/>
    <w:pPr>
      <w:spacing w:after="200" w:line="36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rsid w:val="007C3C2F"/>
    <w:pPr>
      <w:spacing w:before="100" w:beforeAutospacing="1" w:after="100" w:afterAutospacing="1" w:line="240" w:lineRule="auto"/>
    </w:pPr>
    <w:rPr>
      <w:rFonts w:eastAsia="Times New Roman"/>
      <w:szCs w:val="24"/>
      <w:lang w:eastAsia="en-GB"/>
    </w:rPr>
  </w:style>
  <w:style w:type="paragraph" w:styleId="NormalWeb">
    <w:name w:val="Normal (Web)"/>
    <w:basedOn w:val="Normal"/>
    <w:uiPriority w:val="99"/>
    <w:unhideWhenUsed/>
    <w:rsid w:val="007C3C2F"/>
    <w:pPr>
      <w:spacing w:before="100" w:beforeAutospacing="1" w:after="100" w:afterAutospacing="1" w:line="240" w:lineRule="auto"/>
    </w:pPr>
    <w:rPr>
      <w:rFonts w:eastAsia="Times New Roman"/>
      <w:szCs w:val="24"/>
      <w:lang w:eastAsia="en-GB"/>
    </w:rPr>
  </w:style>
  <w:style w:type="character" w:customStyle="1" w:styleId="apple-converted-space">
    <w:name w:val="apple-converted-space"/>
    <w:basedOn w:val="DefaultParagraphFont"/>
    <w:rsid w:val="007C3C2F"/>
  </w:style>
  <w:style w:type="character" w:styleId="Hyperlink">
    <w:name w:val="Hyperlink"/>
    <w:basedOn w:val="DefaultParagraphFont"/>
    <w:uiPriority w:val="99"/>
    <w:unhideWhenUsed/>
    <w:rsid w:val="007C3C2F"/>
    <w:rPr>
      <w:color w:val="0000FF"/>
      <w:u w:val="single"/>
    </w:rPr>
  </w:style>
  <w:style w:type="paragraph" w:customStyle="1" w:styleId="question">
    <w:name w:val="question"/>
    <w:basedOn w:val="Normal"/>
    <w:rsid w:val="007C3C2F"/>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sid w:val="007C3C2F"/>
    <w:rPr>
      <w:b/>
      <w:bCs/>
    </w:rPr>
  </w:style>
  <w:style w:type="character" w:styleId="Emphasis">
    <w:name w:val="Emphasis"/>
    <w:basedOn w:val="DefaultParagraphFont"/>
    <w:uiPriority w:val="20"/>
    <w:qFormat/>
    <w:rsid w:val="00D26585"/>
    <w:rPr>
      <w:i/>
      <w:iCs/>
    </w:rPr>
  </w:style>
  <w:style w:type="paragraph" w:styleId="PlainText">
    <w:name w:val="Plain Text"/>
    <w:basedOn w:val="Normal"/>
    <w:link w:val="PlainTextChar"/>
    <w:uiPriority w:val="99"/>
    <w:unhideWhenUsed/>
    <w:rsid w:val="00C70426"/>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70426"/>
    <w:rPr>
      <w:rFonts w:ascii="Calibri" w:hAnsi="Calibri"/>
      <w:szCs w:val="21"/>
    </w:rPr>
  </w:style>
  <w:style w:type="paragraph" w:styleId="BalloonText">
    <w:name w:val="Balloon Text"/>
    <w:basedOn w:val="Normal"/>
    <w:link w:val="BalloonTextChar"/>
    <w:uiPriority w:val="99"/>
    <w:semiHidden/>
    <w:unhideWhenUsed/>
    <w:rsid w:val="0072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2F"/>
    <w:rPr>
      <w:rFonts w:ascii="Segoe UI" w:eastAsia="Calibri" w:hAnsi="Segoe UI" w:cs="Segoe UI"/>
      <w:sz w:val="18"/>
      <w:szCs w:val="18"/>
    </w:rPr>
  </w:style>
  <w:style w:type="paragraph" w:styleId="ListParagraph">
    <w:name w:val="List Paragraph"/>
    <w:basedOn w:val="Normal"/>
    <w:uiPriority w:val="34"/>
    <w:qFormat/>
    <w:rsid w:val="007E19C6"/>
    <w:pPr>
      <w:ind w:left="720"/>
      <w:contextualSpacing/>
    </w:pPr>
  </w:style>
  <w:style w:type="paragraph" w:styleId="Header">
    <w:name w:val="header"/>
    <w:basedOn w:val="Normal"/>
    <w:link w:val="HeaderChar"/>
    <w:uiPriority w:val="99"/>
    <w:unhideWhenUsed/>
    <w:rsid w:val="00422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879"/>
    <w:rPr>
      <w:rFonts w:ascii="Times New Roman" w:eastAsia="Calibri" w:hAnsi="Times New Roman" w:cs="Times New Roman"/>
      <w:sz w:val="24"/>
    </w:rPr>
  </w:style>
  <w:style w:type="paragraph" w:styleId="Footer">
    <w:name w:val="footer"/>
    <w:basedOn w:val="Normal"/>
    <w:link w:val="FooterChar"/>
    <w:uiPriority w:val="99"/>
    <w:unhideWhenUsed/>
    <w:rsid w:val="00422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879"/>
    <w:rPr>
      <w:rFonts w:ascii="Times New Roman" w:eastAsia="Calibri" w:hAnsi="Times New Roman" w:cs="Times New Roman"/>
      <w:sz w:val="24"/>
    </w:rPr>
  </w:style>
  <w:style w:type="paragraph" w:styleId="ListBullet">
    <w:name w:val="List Bullet"/>
    <w:basedOn w:val="Normal"/>
    <w:uiPriority w:val="99"/>
    <w:unhideWhenUsed/>
    <w:rsid w:val="00F67E8C"/>
    <w:pPr>
      <w:numPr>
        <w:numId w:val="3"/>
      </w:numPr>
      <w:contextualSpacing/>
    </w:pPr>
  </w:style>
  <w:style w:type="character" w:styleId="FollowedHyperlink">
    <w:name w:val="FollowedHyperlink"/>
    <w:basedOn w:val="DefaultParagraphFont"/>
    <w:uiPriority w:val="99"/>
    <w:semiHidden/>
    <w:unhideWhenUsed/>
    <w:rsid w:val="00A73C86"/>
    <w:rPr>
      <w:color w:val="954F72" w:themeColor="followedHyperlink"/>
      <w:u w:val="single"/>
    </w:rPr>
  </w:style>
  <w:style w:type="paragraph" w:styleId="FootnoteText">
    <w:name w:val="footnote text"/>
    <w:basedOn w:val="Normal"/>
    <w:link w:val="FootnoteTextChar"/>
    <w:uiPriority w:val="99"/>
    <w:semiHidden/>
    <w:unhideWhenUsed/>
    <w:rsid w:val="000D4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ED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D4E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EA"/>
    <w:pPr>
      <w:spacing w:after="200" w:line="36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rsid w:val="007C3C2F"/>
    <w:pPr>
      <w:spacing w:before="100" w:beforeAutospacing="1" w:after="100" w:afterAutospacing="1" w:line="240" w:lineRule="auto"/>
    </w:pPr>
    <w:rPr>
      <w:rFonts w:eastAsia="Times New Roman"/>
      <w:szCs w:val="24"/>
      <w:lang w:eastAsia="en-GB"/>
    </w:rPr>
  </w:style>
  <w:style w:type="paragraph" w:styleId="NormalWeb">
    <w:name w:val="Normal (Web)"/>
    <w:basedOn w:val="Normal"/>
    <w:uiPriority w:val="99"/>
    <w:unhideWhenUsed/>
    <w:rsid w:val="007C3C2F"/>
    <w:pPr>
      <w:spacing w:before="100" w:beforeAutospacing="1" w:after="100" w:afterAutospacing="1" w:line="240" w:lineRule="auto"/>
    </w:pPr>
    <w:rPr>
      <w:rFonts w:eastAsia="Times New Roman"/>
      <w:szCs w:val="24"/>
      <w:lang w:eastAsia="en-GB"/>
    </w:rPr>
  </w:style>
  <w:style w:type="character" w:customStyle="1" w:styleId="apple-converted-space">
    <w:name w:val="apple-converted-space"/>
    <w:basedOn w:val="DefaultParagraphFont"/>
    <w:rsid w:val="007C3C2F"/>
  </w:style>
  <w:style w:type="character" w:styleId="Hyperlink">
    <w:name w:val="Hyperlink"/>
    <w:basedOn w:val="DefaultParagraphFont"/>
    <w:uiPriority w:val="99"/>
    <w:unhideWhenUsed/>
    <w:rsid w:val="007C3C2F"/>
    <w:rPr>
      <w:color w:val="0000FF"/>
      <w:u w:val="single"/>
    </w:rPr>
  </w:style>
  <w:style w:type="paragraph" w:customStyle="1" w:styleId="question">
    <w:name w:val="question"/>
    <w:basedOn w:val="Normal"/>
    <w:rsid w:val="007C3C2F"/>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sid w:val="007C3C2F"/>
    <w:rPr>
      <w:b/>
      <w:bCs/>
    </w:rPr>
  </w:style>
  <w:style w:type="character" w:styleId="Emphasis">
    <w:name w:val="Emphasis"/>
    <w:basedOn w:val="DefaultParagraphFont"/>
    <w:uiPriority w:val="20"/>
    <w:qFormat/>
    <w:rsid w:val="00D26585"/>
    <w:rPr>
      <w:i/>
      <w:iCs/>
    </w:rPr>
  </w:style>
  <w:style w:type="paragraph" w:styleId="PlainText">
    <w:name w:val="Plain Text"/>
    <w:basedOn w:val="Normal"/>
    <w:link w:val="PlainTextChar"/>
    <w:uiPriority w:val="99"/>
    <w:unhideWhenUsed/>
    <w:rsid w:val="00C70426"/>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70426"/>
    <w:rPr>
      <w:rFonts w:ascii="Calibri" w:hAnsi="Calibri"/>
      <w:szCs w:val="21"/>
    </w:rPr>
  </w:style>
  <w:style w:type="paragraph" w:styleId="BalloonText">
    <w:name w:val="Balloon Text"/>
    <w:basedOn w:val="Normal"/>
    <w:link w:val="BalloonTextChar"/>
    <w:uiPriority w:val="99"/>
    <w:semiHidden/>
    <w:unhideWhenUsed/>
    <w:rsid w:val="0072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2F"/>
    <w:rPr>
      <w:rFonts w:ascii="Segoe UI" w:eastAsia="Calibri" w:hAnsi="Segoe UI" w:cs="Segoe UI"/>
      <w:sz w:val="18"/>
      <w:szCs w:val="18"/>
    </w:rPr>
  </w:style>
  <w:style w:type="paragraph" w:styleId="ListParagraph">
    <w:name w:val="List Paragraph"/>
    <w:basedOn w:val="Normal"/>
    <w:uiPriority w:val="34"/>
    <w:qFormat/>
    <w:rsid w:val="007E19C6"/>
    <w:pPr>
      <w:ind w:left="720"/>
      <w:contextualSpacing/>
    </w:pPr>
  </w:style>
  <w:style w:type="paragraph" w:styleId="Header">
    <w:name w:val="header"/>
    <w:basedOn w:val="Normal"/>
    <w:link w:val="HeaderChar"/>
    <w:uiPriority w:val="99"/>
    <w:unhideWhenUsed/>
    <w:rsid w:val="00422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879"/>
    <w:rPr>
      <w:rFonts w:ascii="Times New Roman" w:eastAsia="Calibri" w:hAnsi="Times New Roman" w:cs="Times New Roman"/>
      <w:sz w:val="24"/>
    </w:rPr>
  </w:style>
  <w:style w:type="paragraph" w:styleId="Footer">
    <w:name w:val="footer"/>
    <w:basedOn w:val="Normal"/>
    <w:link w:val="FooterChar"/>
    <w:uiPriority w:val="99"/>
    <w:unhideWhenUsed/>
    <w:rsid w:val="00422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879"/>
    <w:rPr>
      <w:rFonts w:ascii="Times New Roman" w:eastAsia="Calibri" w:hAnsi="Times New Roman" w:cs="Times New Roman"/>
      <w:sz w:val="24"/>
    </w:rPr>
  </w:style>
  <w:style w:type="paragraph" w:styleId="ListBullet">
    <w:name w:val="List Bullet"/>
    <w:basedOn w:val="Normal"/>
    <w:uiPriority w:val="99"/>
    <w:unhideWhenUsed/>
    <w:rsid w:val="00F67E8C"/>
    <w:pPr>
      <w:numPr>
        <w:numId w:val="3"/>
      </w:numPr>
      <w:contextualSpacing/>
    </w:pPr>
  </w:style>
  <w:style w:type="character" w:styleId="FollowedHyperlink">
    <w:name w:val="FollowedHyperlink"/>
    <w:basedOn w:val="DefaultParagraphFont"/>
    <w:uiPriority w:val="99"/>
    <w:semiHidden/>
    <w:unhideWhenUsed/>
    <w:rsid w:val="00A73C86"/>
    <w:rPr>
      <w:color w:val="954F72" w:themeColor="followedHyperlink"/>
      <w:u w:val="single"/>
    </w:rPr>
  </w:style>
  <w:style w:type="paragraph" w:styleId="FootnoteText">
    <w:name w:val="footnote text"/>
    <w:basedOn w:val="Normal"/>
    <w:link w:val="FootnoteTextChar"/>
    <w:uiPriority w:val="99"/>
    <w:semiHidden/>
    <w:unhideWhenUsed/>
    <w:rsid w:val="000D4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ED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D4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303">
      <w:bodyDiv w:val="1"/>
      <w:marLeft w:val="0"/>
      <w:marRight w:val="0"/>
      <w:marTop w:val="0"/>
      <w:marBottom w:val="0"/>
      <w:divBdr>
        <w:top w:val="none" w:sz="0" w:space="0" w:color="auto"/>
        <w:left w:val="none" w:sz="0" w:space="0" w:color="auto"/>
        <w:bottom w:val="none" w:sz="0" w:space="0" w:color="auto"/>
        <w:right w:val="none" w:sz="0" w:space="0" w:color="auto"/>
      </w:divBdr>
    </w:div>
    <w:div w:id="362025859">
      <w:bodyDiv w:val="1"/>
      <w:marLeft w:val="0"/>
      <w:marRight w:val="0"/>
      <w:marTop w:val="0"/>
      <w:marBottom w:val="0"/>
      <w:divBdr>
        <w:top w:val="none" w:sz="0" w:space="0" w:color="auto"/>
        <w:left w:val="none" w:sz="0" w:space="0" w:color="auto"/>
        <w:bottom w:val="none" w:sz="0" w:space="0" w:color="auto"/>
        <w:right w:val="none" w:sz="0" w:space="0" w:color="auto"/>
      </w:divBdr>
      <w:divsChild>
        <w:div w:id="1644769477">
          <w:marLeft w:val="0"/>
          <w:marRight w:val="0"/>
          <w:marTop w:val="0"/>
          <w:marBottom w:val="0"/>
          <w:divBdr>
            <w:top w:val="none" w:sz="0" w:space="0" w:color="auto"/>
            <w:left w:val="none" w:sz="0" w:space="0" w:color="auto"/>
            <w:bottom w:val="none" w:sz="0" w:space="0" w:color="auto"/>
            <w:right w:val="none" w:sz="0" w:space="0" w:color="auto"/>
          </w:divBdr>
        </w:div>
      </w:divsChild>
    </w:div>
    <w:div w:id="556169688">
      <w:bodyDiv w:val="1"/>
      <w:marLeft w:val="0"/>
      <w:marRight w:val="0"/>
      <w:marTop w:val="0"/>
      <w:marBottom w:val="0"/>
      <w:divBdr>
        <w:top w:val="none" w:sz="0" w:space="0" w:color="auto"/>
        <w:left w:val="none" w:sz="0" w:space="0" w:color="auto"/>
        <w:bottom w:val="none" w:sz="0" w:space="0" w:color="auto"/>
        <w:right w:val="none" w:sz="0" w:space="0" w:color="auto"/>
      </w:divBdr>
    </w:div>
    <w:div w:id="1077946430">
      <w:bodyDiv w:val="1"/>
      <w:marLeft w:val="0"/>
      <w:marRight w:val="0"/>
      <w:marTop w:val="0"/>
      <w:marBottom w:val="0"/>
      <w:divBdr>
        <w:top w:val="none" w:sz="0" w:space="0" w:color="auto"/>
        <w:left w:val="none" w:sz="0" w:space="0" w:color="auto"/>
        <w:bottom w:val="none" w:sz="0" w:space="0" w:color="auto"/>
        <w:right w:val="none" w:sz="0" w:space="0" w:color="auto"/>
      </w:divBdr>
    </w:div>
    <w:div w:id="1786270075">
      <w:bodyDiv w:val="1"/>
      <w:marLeft w:val="0"/>
      <w:marRight w:val="0"/>
      <w:marTop w:val="0"/>
      <w:marBottom w:val="0"/>
      <w:divBdr>
        <w:top w:val="none" w:sz="0" w:space="0" w:color="auto"/>
        <w:left w:val="none" w:sz="0" w:space="0" w:color="auto"/>
        <w:bottom w:val="none" w:sz="0" w:space="0" w:color="auto"/>
        <w:right w:val="none" w:sz="0" w:space="0" w:color="auto"/>
      </w:divBdr>
    </w:div>
    <w:div w:id="20923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ivingwagecommission.org.uk/wp-content/uploads/2014/02/Living-Wage-Commission-Report-v2_f-1.pdf" TargetMode="External"/><Relationship Id="rId4" Type="http://schemas.microsoft.com/office/2007/relationships/stylesWithEffects" Target="stylesWithEffects.xml"/><Relationship Id="rId9" Type="http://schemas.openxmlformats.org/officeDocument/2006/relationships/hyperlink" Target="http://www.livingwag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BE4C-338F-4F1B-ACC5-9DDF899E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2017-11-16T16:29:00Z</dcterms:created>
  <dcterms:modified xsi:type="dcterms:W3CDTF">2017-11-26T14:54:00Z</dcterms:modified>
</cp:coreProperties>
</file>